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206D" w14:textId="77777777" w:rsidR="00916299" w:rsidRDefault="00CE3F68">
      <w:pPr>
        <w:spacing w:line="360" w:lineRule="auto"/>
        <w:ind w:firstLineChars="500" w:firstLine="1807"/>
        <w:rPr>
          <w:rFonts w:eastAsiaTheme="majorEastAsia" w:cstheme="minorHAnsi"/>
          <w:b/>
          <w:bCs/>
          <w:color w:val="FF0000"/>
          <w:sz w:val="36"/>
          <w:szCs w:val="36"/>
        </w:rPr>
      </w:pPr>
      <w:r>
        <w:rPr>
          <w:rFonts w:cstheme="minorHAnsi"/>
          <w:b/>
          <w:bCs/>
          <w:color w:val="FF0000"/>
          <w:sz w:val="36"/>
          <w:szCs w:val="36"/>
          <w:lang w:val="en"/>
        </w:rPr>
        <w:t>Technical Data Sheet (</w:t>
      </w:r>
      <w:r>
        <w:rPr>
          <w:rFonts w:eastAsiaTheme="majorEastAsia" w:cstheme="minorHAnsi"/>
          <w:b/>
          <w:bCs/>
          <w:color w:val="FF0000"/>
          <w:sz w:val="36"/>
          <w:szCs w:val="36"/>
        </w:rPr>
        <w:t>OX</w:t>
      </w:r>
      <w:r>
        <w:rPr>
          <w:rFonts w:eastAsiaTheme="majorEastAsia" w:cstheme="minorHAnsi" w:hint="eastAsia"/>
          <w:b/>
          <w:bCs/>
          <w:color w:val="FF0000"/>
          <w:sz w:val="36"/>
          <w:szCs w:val="36"/>
        </w:rPr>
        <w:t>ST</w:t>
      </w:r>
      <w:r>
        <w:rPr>
          <w:rFonts w:eastAsiaTheme="majorEastAsia" w:cstheme="minorHAnsi"/>
          <w:b/>
          <w:bCs/>
          <w:color w:val="FF0000"/>
          <w:sz w:val="36"/>
          <w:szCs w:val="36"/>
        </w:rPr>
        <w:t>-</w:t>
      </w:r>
      <w:r>
        <w:rPr>
          <w:rFonts w:eastAsiaTheme="majorEastAsia" w:cstheme="minorHAnsi" w:hint="eastAsia"/>
          <w:b/>
          <w:bCs/>
          <w:color w:val="FF0000"/>
          <w:sz w:val="36"/>
          <w:szCs w:val="36"/>
        </w:rPr>
        <w:t>806</w:t>
      </w:r>
      <w:r>
        <w:rPr>
          <w:rFonts w:eastAsiaTheme="majorEastAsia" w:cstheme="minorHAnsi"/>
          <w:b/>
          <w:bCs/>
          <w:color w:val="FF0000"/>
          <w:sz w:val="36"/>
          <w:szCs w:val="36"/>
        </w:rPr>
        <w:t>)</w:t>
      </w:r>
    </w:p>
    <w:p w14:paraId="725BD222" w14:textId="77777777" w:rsidR="00916299" w:rsidRDefault="00CE3F68">
      <w:pPr>
        <w:ind w:left="-284"/>
        <w:jc w:val="left"/>
        <w:rPr>
          <w:b/>
          <w:color w:val="FF0000"/>
          <w:sz w:val="28"/>
          <w:szCs w:val="28"/>
          <w:lang w:val="en"/>
        </w:rPr>
      </w:pPr>
      <w:r>
        <w:rPr>
          <w:b/>
          <w:color w:val="FF0000"/>
          <w:sz w:val="28"/>
          <w:szCs w:val="28"/>
          <w:lang w:val="en"/>
        </w:rPr>
        <w:t>General Information</w:t>
      </w:r>
    </w:p>
    <w:p w14:paraId="479948B4" w14:textId="21E14F63" w:rsidR="00916299" w:rsidRDefault="00CE3F68">
      <w:pPr>
        <w:ind w:left="-284"/>
        <w:jc w:val="left"/>
        <w:rPr>
          <w:sz w:val="24"/>
          <w:lang w:val="en"/>
        </w:rPr>
      </w:pPr>
      <w:r>
        <w:rPr>
          <w:sz w:val="24"/>
          <w:lang w:val="en"/>
        </w:rPr>
        <w:t>Chemical Name:</w:t>
      </w:r>
      <w:r>
        <w:rPr>
          <w:sz w:val="24"/>
          <w:lang w:val="en"/>
        </w:rPr>
        <w:tab/>
      </w:r>
      <w:r>
        <w:rPr>
          <w:rFonts w:hint="eastAsia"/>
          <w:sz w:val="24"/>
        </w:rPr>
        <w:t xml:space="preserve">   </w:t>
      </w:r>
      <w:r w:rsidR="00A24081">
        <w:rPr>
          <w:sz w:val="24"/>
        </w:rPr>
        <w:t>M</w:t>
      </w:r>
      <w:proofErr w:type="spellStart"/>
      <w:r>
        <w:rPr>
          <w:sz w:val="24"/>
          <w:lang w:val="en"/>
        </w:rPr>
        <w:t>ethallyl</w:t>
      </w:r>
      <w:proofErr w:type="spellEnd"/>
      <w:r w:rsidR="00A24081">
        <w:rPr>
          <w:sz w:val="24"/>
          <w:lang w:val="en"/>
        </w:rPr>
        <w:t xml:space="preserve"> </w:t>
      </w:r>
      <w:proofErr w:type="spellStart"/>
      <w:r w:rsidR="00A24081">
        <w:rPr>
          <w:sz w:val="24"/>
          <w:lang w:val="en"/>
        </w:rPr>
        <w:t>Polyethyleneglykol</w:t>
      </w:r>
      <w:proofErr w:type="spellEnd"/>
    </w:p>
    <w:p w14:paraId="5E870006" w14:textId="77777777" w:rsidR="00916299" w:rsidRDefault="00CE3F68">
      <w:pPr>
        <w:ind w:left="-284"/>
        <w:rPr>
          <w:sz w:val="24"/>
          <w:lang w:val="en"/>
        </w:rPr>
      </w:pPr>
      <w:r>
        <w:rPr>
          <w:sz w:val="24"/>
          <w:lang w:val="en"/>
        </w:rPr>
        <w:t xml:space="preserve">Chemical Formula: </w:t>
      </w:r>
      <w:r>
        <w:rPr>
          <w:rFonts w:hint="eastAsia"/>
          <w:sz w:val="24"/>
        </w:rPr>
        <w:t xml:space="preserve">   </w:t>
      </w:r>
      <w:r>
        <w:rPr>
          <w:sz w:val="24"/>
          <w:lang w:val="en"/>
        </w:rPr>
        <w:t>CH2=C(CH3) CH2(OCH2CH2)</w:t>
      </w:r>
      <w:r>
        <w:rPr>
          <w:sz w:val="24"/>
          <w:vertAlign w:val="subscript"/>
          <w:lang w:val="en"/>
        </w:rPr>
        <w:t xml:space="preserve"> n</w:t>
      </w:r>
      <w:r>
        <w:rPr>
          <w:sz w:val="24"/>
          <w:lang w:val="en"/>
        </w:rPr>
        <w:t xml:space="preserve"> OH</w:t>
      </w:r>
    </w:p>
    <w:p w14:paraId="7C18CFD3" w14:textId="77777777" w:rsidR="00916299" w:rsidRDefault="00CE3F68">
      <w:pPr>
        <w:ind w:left="-284"/>
        <w:rPr>
          <w:sz w:val="24"/>
          <w:lang w:val="en"/>
        </w:rPr>
      </w:pPr>
      <w:r>
        <w:rPr>
          <w:sz w:val="24"/>
          <w:lang w:val="en"/>
        </w:rPr>
        <w:t xml:space="preserve">CAS-No.: </w:t>
      </w:r>
      <w:r>
        <w:rPr>
          <w:sz w:val="24"/>
          <w:lang w:val="en"/>
        </w:rPr>
        <w:tab/>
      </w:r>
      <w:r>
        <w:rPr>
          <w:sz w:val="24"/>
          <w:lang w:val="en"/>
        </w:rPr>
        <w:tab/>
      </w:r>
      <w:r>
        <w:rPr>
          <w:sz w:val="24"/>
          <w:lang w:val="en"/>
        </w:rPr>
        <w:tab/>
      </w:r>
      <w:r>
        <w:rPr>
          <w:rFonts w:hint="eastAsia"/>
          <w:sz w:val="24"/>
        </w:rPr>
        <w:t xml:space="preserve">   </w:t>
      </w:r>
      <w:r>
        <w:rPr>
          <w:sz w:val="24"/>
          <w:lang w:val="en"/>
        </w:rPr>
        <w:t>31497-33-3</w:t>
      </w:r>
      <w:r>
        <w:rPr>
          <w:sz w:val="24"/>
          <w:lang w:val="en"/>
        </w:rPr>
        <w:tab/>
      </w:r>
    </w:p>
    <w:p w14:paraId="5EE9D633" w14:textId="77777777" w:rsidR="00916299" w:rsidRDefault="00CE3F68">
      <w:pPr>
        <w:ind w:left="-284"/>
        <w:rPr>
          <w:rFonts w:ascii="宋体" w:eastAsia="宋体" w:hAnsi="宋体" w:cs="宋体"/>
          <w:b/>
          <w:bCs/>
          <w:color w:val="FF0000"/>
          <w:sz w:val="28"/>
          <w:szCs w:val="28"/>
          <w:lang w:bidi="ar"/>
        </w:rPr>
      </w:pPr>
      <w:r>
        <w:rPr>
          <w:b/>
          <w:color w:val="FF0000"/>
          <w:sz w:val="28"/>
          <w:szCs w:val="28"/>
          <w:lang w:val="en"/>
        </w:rPr>
        <w:t>Description and Applications</w:t>
      </w:r>
    </w:p>
    <w:p w14:paraId="4BCB48CE" w14:textId="1992D2AB" w:rsidR="00916299" w:rsidRDefault="00A24081">
      <w:pPr>
        <w:ind w:left="-284"/>
        <w:rPr>
          <w:rFonts w:ascii="Arial" w:eastAsia="宋体" w:hAnsi="Arial" w:cs="Arial"/>
          <w:color w:val="2E3033"/>
          <w:szCs w:val="21"/>
          <w:shd w:val="clear" w:color="auto" w:fill="FFFFFF"/>
        </w:rPr>
      </w:pPr>
      <w:r w:rsidRPr="00A24081">
        <w:rPr>
          <w:rFonts w:ascii="Arial" w:eastAsia="宋体" w:hAnsi="Arial" w:cs="Arial"/>
          <w:color w:val="2E3033"/>
          <w:szCs w:val="21"/>
          <w:shd w:val="clear" w:color="auto" w:fill="FFFFFF"/>
        </w:rPr>
        <w:t>OX</w:t>
      </w:r>
      <w:r w:rsidR="00805078">
        <w:rPr>
          <w:rFonts w:ascii="Arial" w:eastAsia="宋体" w:hAnsi="Arial" w:cs="Arial"/>
          <w:color w:val="2E3033"/>
          <w:szCs w:val="21"/>
          <w:shd w:val="clear" w:color="auto" w:fill="FFFFFF"/>
        </w:rPr>
        <w:t>ST</w:t>
      </w:r>
      <w:r w:rsidRPr="00A24081">
        <w:rPr>
          <w:rFonts w:ascii="Arial" w:eastAsia="宋体" w:hAnsi="Arial" w:cs="Arial"/>
          <w:color w:val="2E3033"/>
          <w:szCs w:val="21"/>
          <w:shd w:val="clear" w:color="auto" w:fill="FFFFFF"/>
        </w:rPr>
        <w:t>-80</w:t>
      </w:r>
      <w:r w:rsidR="00805078">
        <w:rPr>
          <w:rFonts w:ascii="Arial" w:eastAsia="宋体" w:hAnsi="Arial" w:cs="Arial"/>
          <w:color w:val="2E3033"/>
          <w:szCs w:val="21"/>
          <w:shd w:val="clear" w:color="auto" w:fill="FFFFFF"/>
        </w:rPr>
        <w:t>6</w:t>
      </w:r>
      <w:r w:rsidRPr="00A24081">
        <w:rPr>
          <w:rFonts w:ascii="Arial" w:eastAsia="宋体" w:hAnsi="Arial" w:cs="Arial"/>
          <w:color w:val="2E3033"/>
          <w:szCs w:val="21"/>
          <w:shd w:val="clear" w:color="auto" w:fill="FFFFFF"/>
        </w:rPr>
        <w:t xml:space="preserve"> is a special product. It has a very narrow molecular weight distribution. The synthetic polycarboxylate water reducer can improve the compactness and permeability of concrete. In addition to the high water-reduction rate superior concrete workability and soft concrete consistency can be achieved. At the end workability of concrete, accelerated hardening and improved durability of concrete can be optimized at the same time. Economic benefits are obvious as well that makes the product applicable for precast concrete, high-strength concrete, quick de-moldable concrete etc.</w:t>
      </w:r>
      <w:r w:rsidR="00CE3F68">
        <w:rPr>
          <w:rFonts w:ascii="Arial" w:eastAsia="宋体" w:hAnsi="Arial" w:cs="Arial" w:hint="eastAsia"/>
          <w:color w:val="2E3033"/>
          <w:szCs w:val="21"/>
          <w:shd w:val="clear" w:color="auto" w:fill="FFFFFF"/>
        </w:rPr>
        <w:t xml:space="preserve"> The product is white flake to light yellow flake, water soluble and stable, can be prepared as water agent product sales, more convenient to use.</w:t>
      </w:r>
    </w:p>
    <w:p w14:paraId="50B4DE5A" w14:textId="77777777" w:rsidR="00916299" w:rsidRDefault="00CE3F68">
      <w:pPr>
        <w:ind w:left="-284"/>
        <w:rPr>
          <w:rFonts w:ascii="Times New Roman" w:eastAsia="宋体" w:hAnsi="Times New Roman" w:cs="Times New Roman"/>
          <w:color w:val="333333"/>
          <w:kern w:val="0"/>
          <w:sz w:val="28"/>
          <w:szCs w:val="28"/>
        </w:rPr>
      </w:pPr>
      <w:r>
        <w:rPr>
          <w:b/>
          <w:color w:val="FF0000"/>
          <w:kern w:val="0"/>
          <w:sz w:val="28"/>
          <w:szCs w:val="28"/>
          <w:lang w:val="en"/>
        </w:rPr>
        <w:t>Technical Data and Quality Parameters</w:t>
      </w:r>
    </w:p>
    <w:tbl>
      <w:tblPr>
        <w:tblW w:w="8535" w:type="dxa"/>
        <w:tblInd w:w="-123" w:type="dxa"/>
        <w:tblBorders>
          <w:top w:val="single" w:sz="4" w:space="0" w:color="auto"/>
          <w:bottom w:val="single" w:sz="4" w:space="0" w:color="auto"/>
        </w:tblBorders>
        <w:tblLayout w:type="fixed"/>
        <w:tblLook w:val="04A0" w:firstRow="1" w:lastRow="0" w:firstColumn="1" w:lastColumn="0" w:noHBand="0" w:noVBand="1"/>
      </w:tblPr>
      <w:tblGrid>
        <w:gridCol w:w="2997"/>
        <w:gridCol w:w="2340"/>
        <w:gridCol w:w="3198"/>
      </w:tblGrid>
      <w:tr w:rsidR="00916299" w14:paraId="210B4280" w14:textId="77777777">
        <w:trPr>
          <w:trHeight w:val="462"/>
        </w:trPr>
        <w:tc>
          <w:tcPr>
            <w:tcW w:w="2997" w:type="dxa"/>
            <w:tcBorders>
              <w:top w:val="single" w:sz="4" w:space="0" w:color="auto"/>
              <w:bottom w:val="single" w:sz="4" w:space="0" w:color="auto"/>
            </w:tcBorders>
          </w:tcPr>
          <w:p w14:paraId="45C30287" w14:textId="77777777" w:rsidR="00916299" w:rsidRDefault="00CE3F68">
            <w:pPr>
              <w:ind w:left="-164"/>
              <w:jc w:val="left"/>
              <w:rPr>
                <w:rFonts w:eastAsia="微软雅黑" w:cstheme="minorHAnsi"/>
                <w:b/>
                <w:bCs/>
                <w:color w:val="333333"/>
                <w:kern w:val="0"/>
                <w:sz w:val="24"/>
              </w:rPr>
            </w:pPr>
            <w:r>
              <w:rPr>
                <w:rFonts w:eastAsia="微软雅黑" w:cstheme="minorHAnsi"/>
                <w:b/>
                <w:bCs/>
                <w:color w:val="333333"/>
                <w:kern w:val="0"/>
                <w:sz w:val="24"/>
              </w:rPr>
              <w:t xml:space="preserve"> Parameter</w:t>
            </w:r>
          </w:p>
        </w:tc>
        <w:tc>
          <w:tcPr>
            <w:tcW w:w="2340" w:type="dxa"/>
            <w:tcBorders>
              <w:top w:val="single" w:sz="4" w:space="0" w:color="auto"/>
              <w:bottom w:val="single" w:sz="4" w:space="0" w:color="auto"/>
            </w:tcBorders>
          </w:tcPr>
          <w:p w14:paraId="6544DB18" w14:textId="04A7CCA0" w:rsidR="00916299" w:rsidRDefault="00CE3F68">
            <w:pPr>
              <w:pStyle w:val="Default"/>
              <w:rPr>
                <w:rFonts w:asciiTheme="minorHAnsi" w:hAnsiTheme="minorHAnsi" w:cstheme="minorHAnsi" w:hint="default"/>
                <w:b/>
                <w:bCs/>
                <w:color w:val="auto"/>
                <w:szCs w:val="24"/>
              </w:rPr>
            </w:pPr>
            <w:r>
              <w:rPr>
                <w:rFonts w:asciiTheme="minorHAnsi" w:hAnsiTheme="minorHAnsi" w:cstheme="minorHAnsi" w:hint="default"/>
                <w:b/>
                <w:bCs/>
                <w:szCs w:val="24"/>
              </w:rPr>
              <w:t>OX</w:t>
            </w:r>
            <w:r w:rsidR="00A24081">
              <w:rPr>
                <w:rFonts w:asciiTheme="minorHAnsi" w:hAnsiTheme="minorHAnsi" w:cstheme="minorHAnsi" w:hint="default"/>
                <w:b/>
                <w:bCs/>
                <w:szCs w:val="24"/>
              </w:rPr>
              <w:t>ST</w:t>
            </w:r>
            <w:r>
              <w:rPr>
                <w:rFonts w:asciiTheme="minorHAnsi" w:hAnsiTheme="minorHAnsi" w:cstheme="minorHAnsi" w:hint="default"/>
                <w:b/>
                <w:bCs/>
                <w:szCs w:val="24"/>
              </w:rPr>
              <w:t>-</w:t>
            </w:r>
            <w:r>
              <w:rPr>
                <w:rFonts w:asciiTheme="minorHAnsi" w:hAnsiTheme="minorHAnsi" w:cstheme="minorHAnsi"/>
                <w:b/>
                <w:bCs/>
                <w:szCs w:val="24"/>
              </w:rPr>
              <w:t>806</w:t>
            </w:r>
          </w:p>
        </w:tc>
        <w:tc>
          <w:tcPr>
            <w:tcW w:w="3198" w:type="dxa"/>
            <w:tcBorders>
              <w:top w:val="single" w:sz="4" w:space="0" w:color="auto"/>
              <w:bottom w:val="single" w:sz="4" w:space="0" w:color="auto"/>
            </w:tcBorders>
          </w:tcPr>
          <w:p w14:paraId="1D9610B2" w14:textId="77777777" w:rsidR="00916299" w:rsidRDefault="00CE3F68">
            <w:pPr>
              <w:pStyle w:val="Default"/>
              <w:rPr>
                <w:rFonts w:asciiTheme="minorHAnsi" w:hAnsiTheme="minorHAnsi" w:cstheme="minorHAnsi" w:hint="default"/>
                <w:b/>
                <w:bCs/>
                <w:color w:val="auto"/>
                <w:szCs w:val="24"/>
              </w:rPr>
            </w:pPr>
            <w:r>
              <w:rPr>
                <w:rFonts w:asciiTheme="minorHAnsi" w:hAnsiTheme="minorHAnsi" w:cstheme="minorHAnsi" w:hint="default"/>
                <w:b/>
                <w:bCs/>
                <w:color w:val="auto"/>
                <w:szCs w:val="24"/>
              </w:rPr>
              <w:t>Method</w:t>
            </w:r>
          </w:p>
        </w:tc>
      </w:tr>
      <w:tr w:rsidR="00916299" w14:paraId="6943357D" w14:textId="77777777">
        <w:tc>
          <w:tcPr>
            <w:tcW w:w="2997" w:type="dxa"/>
            <w:tcBorders>
              <w:top w:val="single" w:sz="4" w:space="0" w:color="auto"/>
              <w:bottom w:val="single" w:sz="4" w:space="0" w:color="auto"/>
            </w:tcBorders>
          </w:tcPr>
          <w:p w14:paraId="4802E711" w14:textId="77777777" w:rsidR="00916299" w:rsidRDefault="00CE3F68">
            <w:pPr>
              <w:ind w:left="-164" w:hanging="142"/>
              <w:jc w:val="left"/>
              <w:rPr>
                <w:rFonts w:eastAsia="宋体" w:cstheme="minorHAnsi"/>
                <w:b/>
                <w:bCs/>
                <w:color w:val="333333"/>
                <w:kern w:val="0"/>
                <w:sz w:val="24"/>
              </w:rPr>
            </w:pPr>
            <w:r>
              <w:rPr>
                <w:rFonts w:cstheme="minorHAnsi"/>
                <w:sz w:val="24"/>
              </w:rPr>
              <w:t xml:space="preserve">  Appearance at 20 °C</w:t>
            </w:r>
          </w:p>
        </w:tc>
        <w:tc>
          <w:tcPr>
            <w:tcW w:w="2340" w:type="dxa"/>
            <w:tcBorders>
              <w:top w:val="single" w:sz="4" w:space="0" w:color="auto"/>
              <w:bottom w:val="single" w:sz="4" w:space="0" w:color="auto"/>
            </w:tcBorders>
          </w:tcPr>
          <w:p w14:paraId="3267445A" w14:textId="77777777" w:rsidR="00916299" w:rsidRDefault="00CE3F68">
            <w:pPr>
              <w:widowControl/>
              <w:spacing w:line="210" w:lineRule="atLeast"/>
              <w:rPr>
                <w:rFonts w:eastAsia="宋体" w:cstheme="minorHAnsi"/>
                <w:kern w:val="0"/>
                <w:sz w:val="24"/>
              </w:rPr>
            </w:pPr>
            <w:r>
              <w:rPr>
                <w:rFonts w:ascii="Arial" w:eastAsia="宋体" w:hAnsi="Arial" w:cs="Arial" w:hint="eastAsia"/>
                <w:color w:val="2E3033"/>
                <w:szCs w:val="21"/>
                <w:shd w:val="clear" w:color="auto" w:fill="FFFFFF"/>
              </w:rPr>
              <w:t>White flake to light yellow flake</w:t>
            </w:r>
          </w:p>
        </w:tc>
        <w:tc>
          <w:tcPr>
            <w:tcW w:w="3198" w:type="dxa"/>
            <w:tcBorders>
              <w:top w:val="single" w:sz="4" w:space="0" w:color="auto"/>
              <w:bottom w:val="single" w:sz="4" w:space="0" w:color="auto"/>
            </w:tcBorders>
          </w:tcPr>
          <w:p w14:paraId="3EB60DFB" w14:textId="77777777" w:rsidR="00916299" w:rsidRDefault="00CE3F68">
            <w:pPr>
              <w:jc w:val="left"/>
              <w:rPr>
                <w:rFonts w:eastAsia="宋体" w:cstheme="minorHAnsi"/>
                <w:kern w:val="0"/>
                <w:sz w:val="24"/>
              </w:rPr>
            </w:pPr>
            <w:r>
              <w:rPr>
                <w:rFonts w:cstheme="minorHAnsi"/>
                <w:sz w:val="24"/>
              </w:rPr>
              <w:t>visual</w:t>
            </w:r>
          </w:p>
        </w:tc>
      </w:tr>
      <w:tr w:rsidR="00916299" w14:paraId="101E579C" w14:textId="77777777">
        <w:tc>
          <w:tcPr>
            <w:tcW w:w="2997" w:type="dxa"/>
            <w:tcBorders>
              <w:top w:val="single" w:sz="4" w:space="0" w:color="auto"/>
              <w:bottom w:val="single" w:sz="4" w:space="0" w:color="auto"/>
            </w:tcBorders>
          </w:tcPr>
          <w:p w14:paraId="5267FE69" w14:textId="77777777" w:rsidR="00916299" w:rsidRDefault="00CE3F68">
            <w:pPr>
              <w:ind w:left="-306" w:hanging="142"/>
              <w:jc w:val="left"/>
              <w:rPr>
                <w:rFonts w:cstheme="minorHAnsi"/>
                <w:b/>
                <w:bCs/>
                <w:color w:val="333333"/>
                <w:kern w:val="0"/>
                <w:sz w:val="24"/>
                <w:lang w:val="de-DE"/>
              </w:rPr>
            </w:pPr>
            <w:r>
              <w:rPr>
                <w:rFonts w:cstheme="minorHAnsi"/>
                <w:sz w:val="24"/>
                <w:lang w:val="de-DE"/>
              </w:rPr>
              <w:t xml:space="preserve">   OH Value (mg KOH/g])</w:t>
            </w:r>
          </w:p>
        </w:tc>
        <w:tc>
          <w:tcPr>
            <w:tcW w:w="2340" w:type="dxa"/>
            <w:tcBorders>
              <w:top w:val="single" w:sz="4" w:space="0" w:color="auto"/>
              <w:bottom w:val="single" w:sz="4" w:space="0" w:color="auto"/>
            </w:tcBorders>
          </w:tcPr>
          <w:p w14:paraId="7A97E19A" w14:textId="77777777" w:rsidR="00916299" w:rsidRDefault="00CE3F68">
            <w:pPr>
              <w:jc w:val="left"/>
              <w:rPr>
                <w:rFonts w:cstheme="minorHAnsi"/>
                <w:kern w:val="0"/>
                <w:sz w:val="24"/>
              </w:rPr>
            </w:pPr>
            <w:r>
              <w:rPr>
                <w:rFonts w:cstheme="minorHAnsi" w:hint="eastAsia"/>
                <w:sz w:val="24"/>
              </w:rPr>
              <w:t>10.5-12.0</w:t>
            </w:r>
          </w:p>
        </w:tc>
        <w:tc>
          <w:tcPr>
            <w:tcW w:w="3198" w:type="dxa"/>
            <w:tcBorders>
              <w:top w:val="single" w:sz="4" w:space="0" w:color="auto"/>
              <w:bottom w:val="single" w:sz="4" w:space="0" w:color="auto"/>
            </w:tcBorders>
          </w:tcPr>
          <w:p w14:paraId="2FB6BA85" w14:textId="77777777" w:rsidR="00916299" w:rsidRDefault="00CE3F68">
            <w:pPr>
              <w:jc w:val="left"/>
              <w:rPr>
                <w:rFonts w:eastAsia="宋体" w:cstheme="minorHAnsi"/>
                <w:kern w:val="0"/>
                <w:sz w:val="24"/>
              </w:rPr>
            </w:pPr>
            <w:r>
              <w:rPr>
                <w:rFonts w:cstheme="minorHAnsi"/>
                <w:color w:val="333333"/>
                <w:kern w:val="0"/>
                <w:sz w:val="24"/>
              </w:rPr>
              <w:t>GB/T7383-2007</w:t>
            </w:r>
          </w:p>
        </w:tc>
      </w:tr>
      <w:tr w:rsidR="00916299" w14:paraId="370846AE" w14:textId="77777777">
        <w:tc>
          <w:tcPr>
            <w:tcW w:w="2997" w:type="dxa"/>
            <w:tcBorders>
              <w:top w:val="single" w:sz="4" w:space="0" w:color="auto"/>
              <w:bottom w:val="single" w:sz="4" w:space="0" w:color="auto"/>
            </w:tcBorders>
          </w:tcPr>
          <w:p w14:paraId="7713C699" w14:textId="77777777" w:rsidR="00916299" w:rsidRDefault="00CE3F68">
            <w:pPr>
              <w:ind w:left="-306" w:hanging="142"/>
              <w:jc w:val="left"/>
              <w:rPr>
                <w:rFonts w:cstheme="minorHAnsi"/>
                <w:color w:val="333333"/>
                <w:kern w:val="0"/>
                <w:sz w:val="24"/>
              </w:rPr>
            </w:pPr>
            <w:r>
              <w:rPr>
                <w:rFonts w:cstheme="minorHAnsi"/>
                <w:color w:val="333333"/>
                <w:kern w:val="0"/>
                <w:sz w:val="24"/>
                <w:lang w:val="en"/>
              </w:rPr>
              <w:t>Io  Iodine value</w:t>
            </w:r>
            <w:r>
              <w:rPr>
                <w:rFonts w:eastAsia="宋体" w:cstheme="minorHAnsi"/>
                <w:color w:val="333333"/>
                <w:kern w:val="0"/>
                <w:sz w:val="24"/>
              </w:rPr>
              <w:t>（</w:t>
            </w:r>
            <w:r>
              <w:rPr>
                <w:rFonts w:cstheme="minorHAnsi"/>
                <w:sz w:val="24"/>
              </w:rPr>
              <w:t>mg KOH/g</w:t>
            </w:r>
            <w:r>
              <w:rPr>
                <w:rFonts w:cstheme="minorHAnsi"/>
                <w:sz w:val="24"/>
              </w:rPr>
              <w:t>）</w:t>
            </w:r>
          </w:p>
        </w:tc>
        <w:tc>
          <w:tcPr>
            <w:tcW w:w="2340" w:type="dxa"/>
            <w:tcBorders>
              <w:top w:val="single" w:sz="4" w:space="0" w:color="auto"/>
              <w:bottom w:val="single" w:sz="4" w:space="0" w:color="auto"/>
            </w:tcBorders>
          </w:tcPr>
          <w:p w14:paraId="4CB6CDFF" w14:textId="77777777" w:rsidR="00916299" w:rsidRDefault="00CE3F68">
            <w:pPr>
              <w:jc w:val="left"/>
              <w:rPr>
                <w:rFonts w:eastAsia="宋体" w:cstheme="minorHAnsi"/>
                <w:kern w:val="0"/>
                <w:sz w:val="24"/>
              </w:rPr>
            </w:pPr>
            <w:r>
              <w:rPr>
                <w:rFonts w:eastAsia="宋体" w:cstheme="minorHAnsi" w:hint="eastAsia"/>
                <w:kern w:val="0"/>
                <w:sz w:val="24"/>
              </w:rPr>
              <w:t>4.5</w:t>
            </w:r>
          </w:p>
        </w:tc>
        <w:tc>
          <w:tcPr>
            <w:tcW w:w="3198" w:type="dxa"/>
            <w:tcBorders>
              <w:top w:val="single" w:sz="4" w:space="0" w:color="auto"/>
              <w:bottom w:val="single" w:sz="4" w:space="0" w:color="auto"/>
            </w:tcBorders>
          </w:tcPr>
          <w:p w14:paraId="1C099791" w14:textId="77777777" w:rsidR="00916299" w:rsidRDefault="00CE3F68">
            <w:pPr>
              <w:jc w:val="left"/>
              <w:rPr>
                <w:rFonts w:eastAsia="宋体" w:cstheme="minorHAnsi"/>
                <w:kern w:val="0"/>
                <w:sz w:val="24"/>
              </w:rPr>
            </w:pPr>
            <w:r>
              <w:rPr>
                <w:rFonts w:cstheme="minorHAnsi"/>
                <w:color w:val="333333"/>
                <w:kern w:val="0"/>
                <w:sz w:val="24"/>
              </w:rPr>
              <w:t>GB/T13892-2012</w:t>
            </w:r>
          </w:p>
        </w:tc>
      </w:tr>
      <w:tr w:rsidR="00916299" w14:paraId="692AF55C" w14:textId="77777777">
        <w:tc>
          <w:tcPr>
            <w:tcW w:w="2997" w:type="dxa"/>
            <w:tcBorders>
              <w:top w:val="single" w:sz="4" w:space="0" w:color="auto"/>
              <w:bottom w:val="single" w:sz="4" w:space="0" w:color="auto"/>
            </w:tcBorders>
          </w:tcPr>
          <w:p w14:paraId="538C531B" w14:textId="77777777" w:rsidR="00916299" w:rsidRDefault="00CE3F68">
            <w:pPr>
              <w:ind w:left="-164" w:firstLine="142"/>
              <w:jc w:val="left"/>
              <w:rPr>
                <w:rFonts w:eastAsia="宋体" w:cstheme="minorHAnsi"/>
                <w:b/>
                <w:bCs/>
                <w:color w:val="333333"/>
                <w:kern w:val="0"/>
                <w:sz w:val="24"/>
              </w:rPr>
            </w:pPr>
            <w:r>
              <w:rPr>
                <w:rFonts w:cstheme="minorHAnsi"/>
                <w:color w:val="333333"/>
                <w:kern w:val="0"/>
                <w:sz w:val="24"/>
                <w:lang w:val="en"/>
              </w:rPr>
              <w:t xml:space="preserve">pH Value </w:t>
            </w:r>
            <w:proofErr w:type="spellStart"/>
            <w:r>
              <w:rPr>
                <w:rFonts w:cstheme="minorHAnsi"/>
                <w:color w:val="333333"/>
                <w:kern w:val="0"/>
                <w:sz w:val="24"/>
                <w:lang w:val="en"/>
              </w:rPr>
              <w:t>lue</w:t>
            </w:r>
            <w:proofErr w:type="spellEnd"/>
            <w:r>
              <w:rPr>
                <w:rFonts w:eastAsia="宋体" w:cstheme="minorHAnsi" w:hint="eastAsia"/>
                <w:color w:val="333333"/>
                <w:kern w:val="0"/>
                <w:sz w:val="24"/>
              </w:rPr>
              <w:t xml:space="preserve"> </w:t>
            </w:r>
            <w:r>
              <w:rPr>
                <w:rFonts w:eastAsia="宋体" w:cstheme="minorHAnsi"/>
                <w:color w:val="333333"/>
                <w:kern w:val="0"/>
                <w:sz w:val="24"/>
              </w:rPr>
              <w:t>(</w:t>
            </w:r>
            <w:r>
              <w:rPr>
                <w:rFonts w:cstheme="minorHAnsi"/>
                <w:sz w:val="24"/>
              </w:rPr>
              <w:t>mg KOH/g</w:t>
            </w:r>
            <w:r>
              <w:rPr>
                <w:rFonts w:cstheme="minorHAnsi"/>
                <w:sz w:val="24"/>
              </w:rPr>
              <w:t>）</w:t>
            </w:r>
          </w:p>
        </w:tc>
        <w:tc>
          <w:tcPr>
            <w:tcW w:w="2340" w:type="dxa"/>
            <w:tcBorders>
              <w:top w:val="single" w:sz="4" w:space="0" w:color="auto"/>
              <w:bottom w:val="single" w:sz="4" w:space="0" w:color="auto"/>
            </w:tcBorders>
          </w:tcPr>
          <w:p w14:paraId="495D211A" w14:textId="77777777" w:rsidR="00916299" w:rsidRDefault="00CE3F68">
            <w:pPr>
              <w:jc w:val="left"/>
              <w:rPr>
                <w:rFonts w:cstheme="minorHAnsi"/>
                <w:kern w:val="0"/>
                <w:sz w:val="24"/>
              </w:rPr>
            </w:pPr>
            <w:r>
              <w:rPr>
                <w:rFonts w:cstheme="minorHAnsi"/>
                <w:sz w:val="24"/>
              </w:rPr>
              <w:t>5.</w:t>
            </w:r>
            <w:r>
              <w:rPr>
                <w:rFonts w:cstheme="minorHAnsi" w:hint="eastAsia"/>
                <w:sz w:val="24"/>
              </w:rPr>
              <w:t>5</w:t>
            </w:r>
            <w:r>
              <w:rPr>
                <w:rFonts w:cstheme="minorHAnsi"/>
                <w:sz w:val="24"/>
              </w:rPr>
              <w:t>-7.</w:t>
            </w:r>
            <w:r>
              <w:rPr>
                <w:rFonts w:cstheme="minorHAnsi" w:hint="eastAsia"/>
                <w:sz w:val="24"/>
              </w:rPr>
              <w:t>5</w:t>
            </w:r>
          </w:p>
        </w:tc>
        <w:tc>
          <w:tcPr>
            <w:tcW w:w="3198" w:type="dxa"/>
            <w:tcBorders>
              <w:top w:val="single" w:sz="4" w:space="0" w:color="auto"/>
              <w:bottom w:val="single" w:sz="4" w:space="0" w:color="auto"/>
            </w:tcBorders>
          </w:tcPr>
          <w:p w14:paraId="14CBCAAC" w14:textId="77777777" w:rsidR="00916299" w:rsidRDefault="00CE3F68">
            <w:pPr>
              <w:jc w:val="left"/>
              <w:rPr>
                <w:rFonts w:eastAsia="宋体" w:cstheme="minorHAnsi"/>
                <w:kern w:val="0"/>
                <w:sz w:val="24"/>
              </w:rPr>
            </w:pPr>
            <w:r>
              <w:rPr>
                <w:rFonts w:cstheme="minorHAnsi"/>
                <w:sz w:val="24"/>
              </w:rPr>
              <w:t>GB/T 6368-2008</w:t>
            </w:r>
          </w:p>
        </w:tc>
      </w:tr>
      <w:tr w:rsidR="00916299" w14:paraId="0B8F0EB4" w14:textId="77777777">
        <w:tc>
          <w:tcPr>
            <w:tcW w:w="2997" w:type="dxa"/>
            <w:tcBorders>
              <w:top w:val="single" w:sz="4" w:space="0" w:color="auto"/>
              <w:bottom w:val="single" w:sz="4" w:space="0" w:color="auto"/>
            </w:tcBorders>
          </w:tcPr>
          <w:p w14:paraId="3013B233" w14:textId="3461C88E" w:rsidR="00916299" w:rsidRDefault="00CE3F68">
            <w:pPr>
              <w:ind w:left="-164" w:hanging="142"/>
              <w:jc w:val="left"/>
              <w:rPr>
                <w:rFonts w:eastAsia="宋体" w:cstheme="minorHAnsi"/>
                <w:b/>
                <w:bCs/>
                <w:color w:val="333333"/>
                <w:kern w:val="0"/>
                <w:sz w:val="24"/>
              </w:rPr>
            </w:pPr>
            <w:r>
              <w:rPr>
                <w:rFonts w:eastAsia="宋体" w:cstheme="minorHAnsi"/>
                <w:color w:val="333333"/>
                <w:kern w:val="0"/>
                <w:sz w:val="24"/>
              </w:rPr>
              <w:t xml:space="preserve">  Hazen Color 10 % in water</w:t>
            </w:r>
          </w:p>
        </w:tc>
        <w:tc>
          <w:tcPr>
            <w:tcW w:w="2340" w:type="dxa"/>
            <w:tcBorders>
              <w:top w:val="single" w:sz="4" w:space="0" w:color="auto"/>
              <w:bottom w:val="single" w:sz="4" w:space="0" w:color="auto"/>
            </w:tcBorders>
          </w:tcPr>
          <w:p w14:paraId="7EA817F4" w14:textId="77777777" w:rsidR="00916299" w:rsidRDefault="00CE3F68">
            <w:pPr>
              <w:jc w:val="left"/>
              <w:rPr>
                <w:rFonts w:eastAsia="宋体" w:cstheme="minorHAnsi"/>
                <w:kern w:val="0"/>
                <w:sz w:val="24"/>
              </w:rPr>
            </w:pPr>
            <w:r>
              <w:rPr>
                <w:rFonts w:eastAsia="宋体" w:cstheme="minorHAnsi"/>
                <w:kern w:val="0"/>
                <w:sz w:val="24"/>
              </w:rPr>
              <w:t>&lt; 30</w:t>
            </w:r>
            <w:r>
              <w:rPr>
                <w:rFonts w:eastAsia="宋体" w:cstheme="minorHAnsi"/>
                <w:kern w:val="0"/>
                <w:sz w:val="24"/>
              </w:rPr>
              <w:tab/>
            </w:r>
          </w:p>
        </w:tc>
        <w:tc>
          <w:tcPr>
            <w:tcW w:w="3198" w:type="dxa"/>
            <w:tcBorders>
              <w:top w:val="single" w:sz="4" w:space="0" w:color="auto"/>
              <w:bottom w:val="single" w:sz="4" w:space="0" w:color="auto"/>
            </w:tcBorders>
          </w:tcPr>
          <w:p w14:paraId="11ABEC25" w14:textId="77777777" w:rsidR="00916299" w:rsidRDefault="00CE3F68">
            <w:pPr>
              <w:jc w:val="left"/>
              <w:rPr>
                <w:rFonts w:eastAsia="宋体" w:cstheme="minorHAnsi"/>
                <w:kern w:val="0"/>
                <w:sz w:val="24"/>
              </w:rPr>
            </w:pPr>
            <w:r>
              <w:rPr>
                <w:rFonts w:eastAsia="宋体" w:cstheme="minorHAnsi"/>
                <w:kern w:val="0"/>
                <w:sz w:val="24"/>
              </w:rPr>
              <w:t>GB/T 9282</w:t>
            </w:r>
          </w:p>
        </w:tc>
      </w:tr>
    </w:tbl>
    <w:p w14:paraId="0A33B8E8" w14:textId="053F990B" w:rsidR="00916299" w:rsidRDefault="005B1557">
      <w:pPr>
        <w:ind w:left="-284"/>
        <w:rPr>
          <w:b/>
          <w:color w:val="FF0000"/>
          <w:sz w:val="28"/>
          <w:szCs w:val="28"/>
          <w:lang w:val="en"/>
        </w:rPr>
      </w:pPr>
      <w:r>
        <w:rPr>
          <w:b/>
          <w:color w:val="FF0000"/>
          <w:sz w:val="28"/>
          <w:szCs w:val="28"/>
          <w:lang w:val="en"/>
        </w:rPr>
        <w:t>P</w:t>
      </w:r>
      <w:r w:rsidR="00CE3F68">
        <w:rPr>
          <w:b/>
          <w:color w:val="FF0000"/>
          <w:sz w:val="28"/>
          <w:szCs w:val="28"/>
          <w:lang w:val="en"/>
        </w:rPr>
        <w:t xml:space="preserve">ackaging </w:t>
      </w:r>
    </w:p>
    <w:p w14:paraId="493617BA" w14:textId="7DC7F597" w:rsidR="005B1557" w:rsidRDefault="00CE3F68">
      <w:pPr>
        <w:widowControl/>
        <w:tabs>
          <w:tab w:val="left" w:pos="0"/>
        </w:tabs>
        <w:ind w:hanging="284"/>
        <w:rPr>
          <w:color w:val="000000"/>
          <w:kern w:val="0"/>
          <w:sz w:val="24"/>
        </w:rPr>
      </w:pPr>
      <w:r>
        <w:rPr>
          <w:color w:val="000000"/>
          <w:kern w:val="0"/>
          <w:sz w:val="24"/>
          <w:lang w:val="en"/>
        </w:rPr>
        <w:t>Product</w:t>
      </w:r>
      <w:r w:rsidR="005B1557">
        <w:rPr>
          <w:color w:val="000000"/>
          <w:kern w:val="0"/>
          <w:sz w:val="24"/>
          <w:lang w:val="en"/>
        </w:rPr>
        <w:t>s</w:t>
      </w:r>
      <w:r>
        <w:rPr>
          <w:color w:val="000000"/>
          <w:kern w:val="0"/>
          <w:sz w:val="24"/>
          <w:lang w:val="en"/>
        </w:rPr>
        <w:t xml:space="preserve"> offered as flakes are packed in</w:t>
      </w:r>
      <w:r>
        <w:rPr>
          <w:sz w:val="24"/>
          <w:lang w:val="en"/>
        </w:rPr>
        <w:t xml:space="preserve"> </w:t>
      </w:r>
      <w:r>
        <w:rPr>
          <w:color w:val="000000"/>
          <w:kern w:val="0"/>
          <w:sz w:val="24"/>
          <w:lang w:val="en"/>
        </w:rPr>
        <w:t>25 kg composite plastic woven bags or paper</w:t>
      </w:r>
      <w:r>
        <w:rPr>
          <w:rFonts w:hint="eastAsia"/>
          <w:color w:val="000000"/>
          <w:kern w:val="0"/>
          <w:sz w:val="24"/>
        </w:rPr>
        <w:t xml:space="preserve"> </w:t>
      </w:r>
    </w:p>
    <w:p w14:paraId="7D494184" w14:textId="0E9A20A9" w:rsidR="00916299" w:rsidRDefault="00A24081">
      <w:pPr>
        <w:widowControl/>
        <w:tabs>
          <w:tab w:val="left" w:pos="0"/>
        </w:tabs>
        <w:ind w:hanging="284"/>
        <w:rPr>
          <w:color w:val="000000"/>
          <w:kern w:val="0"/>
          <w:sz w:val="24"/>
          <w:lang w:val="en"/>
        </w:rPr>
      </w:pPr>
      <w:r>
        <w:rPr>
          <w:color w:val="000000"/>
          <w:kern w:val="0"/>
          <w:sz w:val="24"/>
          <w:lang w:val="en"/>
        </w:rPr>
        <w:t>b</w:t>
      </w:r>
      <w:r w:rsidR="00CE3F68">
        <w:rPr>
          <w:color w:val="000000"/>
          <w:kern w:val="0"/>
          <w:sz w:val="24"/>
          <w:lang w:val="en"/>
        </w:rPr>
        <w:t>ags</w:t>
      </w:r>
    </w:p>
    <w:p w14:paraId="6E1B9C4C" w14:textId="77777777" w:rsidR="00A24081" w:rsidRDefault="00A24081">
      <w:pPr>
        <w:widowControl/>
        <w:tabs>
          <w:tab w:val="left" w:pos="0"/>
        </w:tabs>
        <w:ind w:hanging="284"/>
        <w:rPr>
          <w:color w:val="000000"/>
          <w:kern w:val="0"/>
          <w:sz w:val="24"/>
          <w:lang w:val="en"/>
        </w:rPr>
      </w:pPr>
    </w:p>
    <w:p w14:paraId="7E636FB8" w14:textId="77777777" w:rsidR="00916299" w:rsidRDefault="00CE3F68">
      <w:pPr>
        <w:tabs>
          <w:tab w:val="left" w:pos="0"/>
        </w:tabs>
        <w:autoSpaceDE w:val="0"/>
        <w:autoSpaceDN w:val="0"/>
        <w:adjustRightInd w:val="0"/>
        <w:spacing w:line="440" w:lineRule="exact"/>
        <w:ind w:hanging="284"/>
        <w:jc w:val="left"/>
        <w:rPr>
          <w:b/>
          <w:bCs/>
          <w:color w:val="FF0000"/>
          <w:kern w:val="0"/>
          <w:sz w:val="28"/>
          <w:szCs w:val="28"/>
          <w:lang w:val="en"/>
        </w:rPr>
      </w:pPr>
      <w:bookmarkStart w:id="0" w:name="_Hlk100259998"/>
      <w:r>
        <w:rPr>
          <w:b/>
          <w:bCs/>
          <w:color w:val="FF0000"/>
          <w:kern w:val="0"/>
          <w:sz w:val="28"/>
          <w:szCs w:val="28"/>
          <w:lang w:val="en"/>
        </w:rPr>
        <w:t>Storage and Transportation Conditions</w:t>
      </w:r>
    </w:p>
    <w:p w14:paraId="47C1CEF8" w14:textId="77777777" w:rsidR="00916299" w:rsidRDefault="00CE3F68">
      <w:pPr>
        <w:tabs>
          <w:tab w:val="left" w:pos="-284"/>
        </w:tabs>
        <w:autoSpaceDE w:val="0"/>
        <w:autoSpaceDN w:val="0"/>
        <w:adjustRightInd w:val="0"/>
        <w:ind w:left="-284"/>
        <w:jc w:val="left"/>
        <w:rPr>
          <w:color w:val="000000"/>
          <w:kern w:val="0"/>
          <w:sz w:val="24"/>
          <w:lang w:val="en"/>
        </w:rPr>
      </w:pPr>
      <w:r>
        <w:rPr>
          <w:color w:val="000000"/>
          <w:kern w:val="0"/>
          <w:sz w:val="24"/>
          <w:lang w:val="en"/>
        </w:rPr>
        <w:t xml:space="preserve">This product is non-toxic and not flammable. </w:t>
      </w:r>
      <w:bookmarkEnd w:id="0"/>
      <w:r>
        <w:rPr>
          <w:color w:val="000000"/>
          <w:kern w:val="0"/>
          <w:sz w:val="24"/>
          <w:lang w:val="en"/>
        </w:rPr>
        <w:t xml:space="preserve">The product should be handled in accordance with the regular chemical transportation regulations. It is strictly forbidden to mix with oxidants, reducing agents, acids, water and other chemicals for storage and transportation. </w:t>
      </w:r>
    </w:p>
    <w:p w14:paraId="712DD3F0" w14:textId="77777777" w:rsidR="00916299" w:rsidRDefault="00CE3F68">
      <w:pPr>
        <w:tabs>
          <w:tab w:val="left" w:pos="0"/>
        </w:tabs>
        <w:autoSpaceDE w:val="0"/>
        <w:autoSpaceDN w:val="0"/>
        <w:adjustRightInd w:val="0"/>
        <w:ind w:hanging="284"/>
        <w:jc w:val="left"/>
        <w:rPr>
          <w:color w:val="000000"/>
          <w:kern w:val="0"/>
          <w:sz w:val="24"/>
          <w:lang w:val="en"/>
        </w:rPr>
      </w:pPr>
      <w:r>
        <w:rPr>
          <w:color w:val="000000"/>
          <w:kern w:val="0"/>
          <w:sz w:val="24"/>
          <w:lang w:val="en"/>
        </w:rPr>
        <w:t>Store in a dry, cool and ventilated place, avoid direct sunlight and rain during</w:t>
      </w:r>
    </w:p>
    <w:p w14:paraId="062881D9" w14:textId="4C7C8F0F" w:rsidR="00916299" w:rsidRDefault="006515B1">
      <w:pPr>
        <w:tabs>
          <w:tab w:val="left" w:pos="0"/>
        </w:tabs>
        <w:autoSpaceDE w:val="0"/>
        <w:autoSpaceDN w:val="0"/>
        <w:adjustRightInd w:val="0"/>
        <w:ind w:hanging="284"/>
        <w:jc w:val="left"/>
        <w:rPr>
          <w:color w:val="000000"/>
          <w:kern w:val="0"/>
          <w:sz w:val="24"/>
          <w:lang w:val="en"/>
        </w:rPr>
      </w:pPr>
      <w:r>
        <w:rPr>
          <w:color w:val="000000"/>
          <w:kern w:val="0"/>
          <w:sz w:val="24"/>
          <w:lang w:val="en"/>
        </w:rPr>
        <w:t>t</w:t>
      </w:r>
      <w:r w:rsidR="00CE3F68">
        <w:rPr>
          <w:color w:val="000000"/>
          <w:kern w:val="0"/>
          <w:sz w:val="24"/>
          <w:lang w:val="en"/>
        </w:rPr>
        <w:t>ransportation. The storage temperature should not be higher than</w:t>
      </w:r>
      <w:r w:rsidR="00CE3F68">
        <w:rPr>
          <w:sz w:val="24"/>
          <w:lang w:val="en"/>
        </w:rPr>
        <w:t xml:space="preserve"> </w:t>
      </w:r>
      <w:r w:rsidR="00CE3F68">
        <w:rPr>
          <w:color w:val="000000"/>
          <w:kern w:val="0"/>
          <w:sz w:val="24"/>
          <w:lang w:val="en"/>
        </w:rPr>
        <w:t>40</w:t>
      </w:r>
      <w:r w:rsidR="00CE3F68">
        <w:rPr>
          <w:sz w:val="24"/>
          <w:lang w:val="en"/>
        </w:rPr>
        <w:t xml:space="preserve"> </w:t>
      </w:r>
      <w:r w:rsidR="00CE3F68">
        <w:rPr>
          <w:color w:val="000000"/>
          <w:kern w:val="0"/>
          <w:sz w:val="24"/>
          <w:lang w:val="en"/>
        </w:rPr>
        <w:t>°C</w:t>
      </w:r>
    </w:p>
    <w:p w14:paraId="5B0A056C" w14:textId="77777777" w:rsidR="00916299" w:rsidRDefault="00916299">
      <w:pPr>
        <w:tabs>
          <w:tab w:val="left" w:pos="0"/>
        </w:tabs>
        <w:autoSpaceDE w:val="0"/>
        <w:autoSpaceDN w:val="0"/>
        <w:adjustRightInd w:val="0"/>
        <w:ind w:hanging="284"/>
        <w:jc w:val="left"/>
        <w:rPr>
          <w:color w:val="000000"/>
          <w:kern w:val="0"/>
          <w:sz w:val="24"/>
          <w:lang w:val="en"/>
        </w:rPr>
      </w:pPr>
    </w:p>
    <w:p w14:paraId="2A7EE4CA" w14:textId="29928207" w:rsidR="00916299" w:rsidRDefault="00CE3F68">
      <w:pPr>
        <w:tabs>
          <w:tab w:val="left" w:pos="0"/>
        </w:tabs>
        <w:spacing w:line="440" w:lineRule="exact"/>
        <w:ind w:hanging="284"/>
        <w:rPr>
          <w:b/>
          <w:bCs/>
          <w:color w:val="FF0000"/>
          <w:kern w:val="0"/>
          <w:sz w:val="28"/>
          <w:szCs w:val="28"/>
          <w:lang w:val="en"/>
        </w:rPr>
      </w:pPr>
      <w:r>
        <w:rPr>
          <w:b/>
          <w:bCs/>
          <w:color w:val="FF0000"/>
          <w:kern w:val="0"/>
          <w:sz w:val="28"/>
          <w:szCs w:val="28"/>
          <w:lang w:val="en"/>
        </w:rPr>
        <w:t xml:space="preserve">Product </w:t>
      </w:r>
      <w:r w:rsidR="005B1557">
        <w:rPr>
          <w:b/>
          <w:bCs/>
          <w:color w:val="FF0000"/>
          <w:kern w:val="0"/>
          <w:sz w:val="28"/>
          <w:szCs w:val="28"/>
          <w:lang w:val="en"/>
        </w:rPr>
        <w:t>S</w:t>
      </w:r>
      <w:r>
        <w:rPr>
          <w:b/>
          <w:bCs/>
          <w:color w:val="FF0000"/>
          <w:kern w:val="0"/>
          <w:sz w:val="28"/>
          <w:szCs w:val="28"/>
          <w:lang w:val="en"/>
        </w:rPr>
        <w:t xml:space="preserve">helf </w:t>
      </w:r>
      <w:r w:rsidR="005B1557">
        <w:rPr>
          <w:b/>
          <w:bCs/>
          <w:color w:val="FF0000"/>
          <w:kern w:val="0"/>
          <w:sz w:val="28"/>
          <w:szCs w:val="28"/>
          <w:lang w:val="en"/>
        </w:rPr>
        <w:t>L</w:t>
      </w:r>
      <w:r>
        <w:rPr>
          <w:b/>
          <w:bCs/>
          <w:color w:val="FF0000"/>
          <w:kern w:val="0"/>
          <w:sz w:val="28"/>
          <w:szCs w:val="28"/>
          <w:lang w:val="en"/>
        </w:rPr>
        <w:t>ife</w:t>
      </w:r>
    </w:p>
    <w:p w14:paraId="611BEA14" w14:textId="4FBB1442" w:rsidR="00916299" w:rsidRDefault="00CE3F68">
      <w:pPr>
        <w:widowControl/>
        <w:tabs>
          <w:tab w:val="left" w:pos="0"/>
        </w:tabs>
        <w:ind w:hanging="284"/>
        <w:rPr>
          <w:color w:val="000000"/>
          <w:kern w:val="0"/>
          <w:sz w:val="24"/>
          <w:lang w:val="en"/>
        </w:rPr>
      </w:pPr>
      <w:r>
        <w:rPr>
          <w:color w:val="000000"/>
          <w:kern w:val="0"/>
          <w:sz w:val="24"/>
          <w:lang w:val="en"/>
        </w:rPr>
        <w:t>6 months under the specified storage and transportation conditions</w:t>
      </w:r>
    </w:p>
    <w:p w14:paraId="06EFF329" w14:textId="77777777" w:rsidR="00916299" w:rsidRDefault="00916299"/>
    <w:sectPr w:rsidR="0091629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2A56" w14:textId="77777777" w:rsidR="0073617E" w:rsidRDefault="0073617E">
      <w:r>
        <w:separator/>
      </w:r>
    </w:p>
  </w:endnote>
  <w:endnote w:type="continuationSeparator" w:id="0">
    <w:p w14:paraId="63EE70BF" w14:textId="77777777" w:rsidR="0073617E" w:rsidRDefault="0073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15C6" w14:textId="77777777" w:rsidR="0073617E" w:rsidRDefault="0073617E">
      <w:r>
        <w:separator/>
      </w:r>
    </w:p>
  </w:footnote>
  <w:footnote w:type="continuationSeparator" w:id="0">
    <w:p w14:paraId="42FF37EB" w14:textId="77777777" w:rsidR="0073617E" w:rsidRDefault="0073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C507" w14:textId="067302D0" w:rsidR="00916299" w:rsidRPr="005B1557" w:rsidRDefault="00916299" w:rsidP="005B1557">
    <w:pPr>
      <w:pStyle w:val="a5"/>
      <w:jc w:val="left"/>
      <w:rPr>
        <w:rFonts w:ascii="楷体" w:eastAsia="楷体" w:hAnsi="楷体" w:cs="楷体"/>
        <w:color w:val="00206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1A"/>
    <w:rsid w:val="000477EB"/>
    <w:rsid w:val="000B3C7B"/>
    <w:rsid w:val="0043741B"/>
    <w:rsid w:val="004E4F65"/>
    <w:rsid w:val="005B1557"/>
    <w:rsid w:val="006515B1"/>
    <w:rsid w:val="006A6F86"/>
    <w:rsid w:val="0073617E"/>
    <w:rsid w:val="00805078"/>
    <w:rsid w:val="00916299"/>
    <w:rsid w:val="00921D93"/>
    <w:rsid w:val="00A24081"/>
    <w:rsid w:val="00A40443"/>
    <w:rsid w:val="00AC0BDB"/>
    <w:rsid w:val="00B86FFA"/>
    <w:rsid w:val="00C423BF"/>
    <w:rsid w:val="00CE3F68"/>
    <w:rsid w:val="00D74A90"/>
    <w:rsid w:val="00D76CF9"/>
    <w:rsid w:val="00FE611A"/>
    <w:rsid w:val="030D709E"/>
    <w:rsid w:val="041A5C57"/>
    <w:rsid w:val="05754A9D"/>
    <w:rsid w:val="0F337DE1"/>
    <w:rsid w:val="1C1742CE"/>
    <w:rsid w:val="21601F05"/>
    <w:rsid w:val="27B02C74"/>
    <w:rsid w:val="2A697D19"/>
    <w:rsid w:val="2A9537E8"/>
    <w:rsid w:val="2C205104"/>
    <w:rsid w:val="335117FB"/>
    <w:rsid w:val="389553B3"/>
    <w:rsid w:val="3AE15ADF"/>
    <w:rsid w:val="46E57989"/>
    <w:rsid w:val="4C815E90"/>
    <w:rsid w:val="54930727"/>
    <w:rsid w:val="57DA2232"/>
    <w:rsid w:val="6944766D"/>
    <w:rsid w:val="77C5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C4674"/>
  <w15:docId w15:val="{652B11CB-69FD-4134-A3F5-4341C519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qFormat/>
    <w:pPr>
      <w:ind w:firstLineChars="200" w:firstLine="420"/>
    </w:p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军</cp:lastModifiedBy>
  <cp:revision>2</cp:revision>
  <dcterms:created xsi:type="dcterms:W3CDTF">2022-04-21T00:34:00Z</dcterms:created>
  <dcterms:modified xsi:type="dcterms:W3CDTF">2022-04-21T00:34:00Z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67C41BA36B0A46D88AB4AB4A02FEFE11</vt:lpwstr>
  </property>
</Properties>
</file>