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bCs/>
          <w:color w:val="FF0000"/>
          <w:sz w:val="36"/>
          <w:szCs w:val="36"/>
          <w:lang w:val="en-US" w:eastAsia="zh-CN"/>
        </w:rPr>
      </w:pPr>
      <w:r>
        <w:rPr>
          <w:rFonts w:hint="default" w:ascii="Times New Roman" w:hAnsi="Times New Roman" w:eastAsia="宋体" w:cs="Times New Roman"/>
          <w:lang w:val="en-US" w:eastAsia="zh-CN"/>
        </w:rPr>
        <w:t xml:space="preserve">                </w:t>
      </w:r>
      <w:r>
        <w:rPr>
          <w:rFonts w:hint="eastAsia" w:asciiTheme="majorEastAsia" w:hAnsiTheme="majorEastAsia" w:eastAsiaTheme="majorEastAsia" w:cstheme="majorEastAsia"/>
          <w:b/>
          <w:bCs/>
          <w:color w:val="FF0000"/>
          <w:sz w:val="36"/>
          <w:szCs w:val="36"/>
          <w:lang w:val="en-US" w:eastAsia="zh-CN"/>
        </w:rPr>
        <w:t>OXVR-403</w:t>
      </w:r>
      <w:r>
        <w:rPr>
          <w:rFonts w:hint="default" w:ascii="Times New Roman" w:hAnsi="Times New Roman" w:eastAsia="宋体" w:cs="Times New Roman"/>
          <w:b/>
          <w:bCs/>
          <w:color w:val="FF0000"/>
          <w:sz w:val="36"/>
          <w:szCs w:val="36"/>
          <w:lang w:val="en-US" w:eastAsia="zh-CN"/>
        </w:rPr>
        <w:t xml:space="preserve"> product description</w:t>
      </w:r>
    </w:p>
    <w:p>
      <w:pPr>
        <w:rPr>
          <w:rFonts w:hint="default" w:ascii="Times New Roman" w:hAnsi="Times New Roman" w:eastAsia="宋体" w:cs="Times New Roman"/>
          <w:b/>
          <w:bCs/>
          <w:color w:val="FF0000"/>
          <w:sz w:val="28"/>
          <w:szCs w:val="28"/>
          <w:lang w:val="en-US" w:eastAsia="zh-CN"/>
        </w:rPr>
      </w:pPr>
      <w:r>
        <w:rPr>
          <w:rFonts w:hint="default" w:ascii="Times New Roman" w:hAnsi="Times New Roman" w:eastAsia="宋体" w:cs="Times New Roman"/>
          <w:b/>
          <w:bCs/>
          <w:color w:val="FF0000"/>
          <w:sz w:val="28"/>
          <w:szCs w:val="28"/>
          <w:lang w:val="en-US" w:eastAsia="zh-CN"/>
        </w:rPr>
        <w:t xml:space="preserve">Product chemical name: </w:t>
      </w:r>
      <w:r>
        <w:rPr>
          <w:rFonts w:hint="default" w:ascii="Times New Roman" w:hAnsi="Times New Roman" w:eastAsia="宋体" w:cs="Times New Roman"/>
          <w:b/>
          <w:bCs/>
          <w:color w:val="auto"/>
          <w:sz w:val="28"/>
          <w:szCs w:val="28"/>
          <w:lang w:val="en-US" w:eastAsia="zh-CN"/>
        </w:rPr>
        <w:t>Block alkenyl polyoxyethylene ether</w:t>
      </w:r>
    </w:p>
    <w:p>
      <w:pPr>
        <w:rPr>
          <w:rFonts w:hint="default" w:ascii="Times New Roman" w:hAnsi="Times New Roman" w:eastAsia="宋体" w:cs="Times New Roman"/>
          <w:color w:val="333333"/>
          <w:kern w:val="0"/>
          <w:sz w:val="28"/>
          <w:szCs w:val="28"/>
        </w:rPr>
      </w:pPr>
      <w:r>
        <w:rPr>
          <w:rFonts w:hint="default" w:ascii="Times New Roman" w:hAnsi="Times New Roman" w:eastAsia="宋体" w:cs="Times New Roman"/>
          <w:b/>
          <w:bCs/>
          <w:color w:val="FF0000"/>
          <w:sz w:val="28"/>
          <w:szCs w:val="28"/>
          <w:lang w:val="en-US" w:eastAsia="zh-CN"/>
        </w:rPr>
        <w:t>Product application：</w:t>
      </w:r>
      <w:r>
        <w:rPr>
          <w:rFonts w:hint="eastAsia"/>
          <w:sz w:val="28"/>
          <w:szCs w:val="28"/>
          <w:lang w:val="en-US" w:eastAsia="zh-CN"/>
        </w:rPr>
        <w:t>OXVR-403</w:t>
      </w:r>
      <w:r>
        <w:rPr>
          <w:rFonts w:hint="default" w:ascii="Times New Roman" w:hAnsi="Times New Roman" w:eastAsia="宋体" w:cs="Times New Roman"/>
          <w:sz w:val="28"/>
          <w:szCs w:val="28"/>
          <w:lang w:val="en-US" w:eastAsia="zh-CN"/>
        </w:rPr>
        <w:t xml:space="preserve"> is a new polyether monomer specially designed for polycarboxylic acid water reducer at the molecular level. The excellent performance of the product can be easily synthesized by optimizing the formula of the water reducing agent. The molecular weight distribution of this product is narrow. The synthetic polycarboxylic acid water reducer has the properties of high water reduction rate, excellent workability of concrete, soft concrete without slab, etc., which can improve the working performance of concrete. It can be widely used in high-rise pumping concrete, high-strength concrete, fair faced concrete, etc. it has light yellow paste appearance, stable aqueous solution and convenient use.</w:t>
      </w:r>
      <w:r>
        <w:rPr>
          <w:rFonts w:hint="default" w:ascii="Times New Roman" w:hAnsi="Times New Roman" w:eastAsia="宋体" w:cs="Times New Roman"/>
          <w:b/>
          <w:bCs w:val="0"/>
          <w:color w:val="FF0000"/>
          <w:kern w:val="0"/>
          <w:sz w:val="28"/>
          <w:szCs w:val="28"/>
        </w:rPr>
        <w:t>Quality index:</w:t>
      </w:r>
    </w:p>
    <w:tbl>
      <w:tblPr>
        <w:tblStyle w:val="3"/>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2580"/>
        <w:gridCol w:w="29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product</w:t>
            </w:r>
          </w:p>
        </w:tc>
        <w:tc>
          <w:tcPr>
            <w:tcW w:w="2580"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sz w:val="28"/>
                <w:szCs w:val="28"/>
              </w:rPr>
              <w:t xml:space="preserve"> OXVR-403</w:t>
            </w:r>
          </w:p>
        </w:tc>
        <w:tc>
          <w:tcPr>
            <w:tcW w:w="2958"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Test standard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appearance（25℃）</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Light yellow paste</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Visual inspection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bidi="ar-SA"/>
              </w:rPr>
            </w:pPr>
            <w:r>
              <w:rPr>
                <w:rFonts w:hint="eastAsia" w:ascii="Times New Roman" w:hAnsi="Times New Roman" w:eastAsia="宋体" w:cs="Times New Roman"/>
                <w:b/>
                <w:bCs/>
                <w:color w:val="333333"/>
                <w:kern w:val="0"/>
                <w:sz w:val="28"/>
                <w:szCs w:val="28"/>
                <w:lang w:val="en-US" w:eastAsia="zh-CN"/>
              </w:rPr>
              <w:t>p</w:t>
            </w:r>
            <w:bookmarkStart w:id="0" w:name="_GoBack"/>
            <w:bookmarkEnd w:id="0"/>
            <w:r>
              <w:rPr>
                <w:rFonts w:hint="default" w:ascii="Times New Roman" w:hAnsi="Times New Roman" w:eastAsia="宋体" w:cs="Times New Roman"/>
                <w:b/>
                <w:bCs/>
                <w:color w:val="333333"/>
                <w:kern w:val="0"/>
                <w:sz w:val="28"/>
                <w:szCs w:val="28"/>
                <w:lang w:val="en-US" w:eastAsia="zh-CN"/>
              </w:rPr>
              <w:t>H value (1% aqueous solution)</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default" w:ascii="Times New Roman" w:hAnsi="Times New Roman" w:eastAsia="宋体" w:cs="Times New Roman"/>
                <w:kern w:val="0"/>
                <w:sz w:val="28"/>
                <w:szCs w:val="28"/>
                <w:lang w:val="en-US" w:eastAsia="zh-CN"/>
              </w:rPr>
              <w:t>6.5±1.0</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default"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Hydroxyl value（</w:t>
            </w:r>
            <w:r>
              <w:rPr>
                <w:rFonts w:hint="default" w:ascii="Times New Roman" w:hAnsi="Times New Roman" w:eastAsia="宋体" w:cs="Times New Roman"/>
                <w:sz w:val="28"/>
                <w:szCs w:val="28"/>
                <w:u w:val="none"/>
              </w:rPr>
              <w:t>mgKOH/</w:t>
            </w:r>
            <w:r>
              <w:rPr>
                <w:rFonts w:hint="default" w:ascii="Times New Roman" w:hAnsi="Times New Roman" w:eastAsia="宋体" w:cs="Times New Roman"/>
                <w:sz w:val="28"/>
                <w:szCs w:val="28"/>
              </w:rPr>
              <w:t>g</w:t>
            </w:r>
            <w:r>
              <w:rPr>
                <w:rFonts w:hint="default" w:ascii="Times New Roman" w:hAnsi="Times New Roman" w:eastAsia="宋体" w:cs="Times New Roman"/>
                <w:sz w:val="28"/>
                <w:szCs w:val="28"/>
                <w:lang w:eastAsia="zh-CN"/>
              </w:rPr>
              <w:t>）</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44.5</w:t>
            </w:r>
            <w:r>
              <w:rPr>
                <w:rFonts w:hint="default" w:ascii="Times New Roman" w:hAnsi="Times New Roman" w:eastAsia="宋体" w:cs="Times New Roman"/>
                <w:kern w:val="0"/>
                <w:sz w:val="28"/>
                <w:szCs w:val="28"/>
                <w:lang w:val="en-US" w:eastAsia="zh-CN"/>
              </w:rPr>
              <w:t>-</w:t>
            </w:r>
            <w:r>
              <w:rPr>
                <w:rFonts w:hint="eastAsia" w:ascii="Times New Roman" w:hAnsi="Times New Roman" w:eastAsia="宋体" w:cs="Times New Roman"/>
                <w:kern w:val="0"/>
                <w:sz w:val="28"/>
                <w:szCs w:val="28"/>
                <w:lang w:val="en-US" w:eastAsia="zh-CN"/>
              </w:rPr>
              <w:t>48.5</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rPr>
            </w:pPr>
            <w:r>
              <w:rPr>
                <w:rFonts w:hint="default" w:ascii="Times New Roman" w:hAnsi="Times New Roman" w:eastAsia="宋体" w:cs="Times New Roman"/>
                <w:kern w:val="0"/>
                <w:sz w:val="28"/>
                <w:szCs w:val="28"/>
                <w:lang w:val="en-US" w:eastAsia="zh-CN"/>
              </w:rPr>
              <w:t>GB/T 7383-2007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Iodine value（</w:t>
            </w:r>
            <w:r>
              <w:rPr>
                <w:rFonts w:hint="default" w:ascii="Times New Roman" w:hAnsi="Times New Roman" w:eastAsia="宋体" w:cs="Times New Roman"/>
                <w:sz w:val="28"/>
                <w:szCs w:val="28"/>
              </w:rPr>
              <w:t>mgKOH/g</w:t>
            </w:r>
            <w:r>
              <w:rPr>
                <w:rFonts w:hint="default" w:ascii="Times New Roman" w:hAnsi="Times New Roman" w:eastAsia="宋体" w:cs="Times New Roman"/>
                <w:sz w:val="28"/>
                <w:szCs w:val="28"/>
                <w:lang w:eastAsia="zh-CN"/>
              </w:rPr>
              <w:t>）</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18.5</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rPr>
              <w:t>GB/T 13892-2012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Double bond retention（％）（≥）</w:t>
            </w:r>
          </w:p>
        </w:tc>
        <w:tc>
          <w:tcPr>
            <w:tcW w:w="258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92</w:t>
            </w:r>
          </w:p>
        </w:tc>
        <w:tc>
          <w:tcPr>
            <w:tcW w:w="2958" w:type="dxa"/>
            <w:tcBorders>
              <w:top w:val="single" w:color="auto" w:sz="4" w:space="0"/>
            </w:tcBorders>
            <w:noWrap w:val="0"/>
            <w:vAlign w:val="top"/>
          </w:tcPr>
          <w:p>
            <w:pPr>
              <w:jc w:val="center"/>
              <w:rPr>
                <w:rFonts w:hint="default" w:ascii="Times New Roman" w:hAnsi="Times New Roman" w:eastAsia="宋体" w:cs="Times New Roman"/>
                <w:kern w:val="0"/>
                <w:sz w:val="28"/>
                <w:szCs w:val="28"/>
                <w:lang w:eastAsia="zh-CN"/>
              </w:rPr>
            </w:pPr>
            <w:r>
              <w:rPr>
                <w:rFonts w:hint="eastAsia" w:ascii="Times New Roman" w:hAnsi="Times New Roman" w:eastAsia="宋体" w:cs="Times New Roman"/>
                <w:kern w:val="0"/>
                <w:sz w:val="28"/>
                <w:szCs w:val="28"/>
                <w:lang w:val="en-US" w:eastAsia="zh-CN"/>
              </w:rPr>
              <w:t>R</w:t>
            </w:r>
            <w:r>
              <w:rPr>
                <w:rFonts w:hint="default" w:ascii="Times New Roman" w:hAnsi="Times New Roman" w:eastAsia="宋体" w:cs="Times New Roman"/>
                <w:kern w:val="0"/>
                <w:sz w:val="28"/>
                <w:szCs w:val="28"/>
                <w:lang w:eastAsia="zh-CN"/>
              </w:rPr>
              <w:t>atio</w:t>
            </w:r>
          </w:p>
        </w:tc>
      </w:tr>
    </w:tbl>
    <w:p>
      <w:pPr>
        <w:widowControl/>
        <w:spacing w:before="100" w:beforeAutospacing="1" w:after="100" w:afterAutospacing="1"/>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Package specification：</w:t>
      </w:r>
      <w:r>
        <w:rPr>
          <w:rFonts w:hint="default" w:ascii="Times New Roman" w:hAnsi="Times New Roman" w:eastAsia="宋体" w:cs="Times New Roman"/>
          <w:color w:val="000000"/>
          <w:kern w:val="0"/>
          <w:sz w:val="28"/>
          <w:szCs w:val="28"/>
          <w:lang w:val="en-US" w:eastAsia="zh-CN"/>
        </w:rPr>
        <w:t>25kg composite plastic woven bag or 25kg composite plastic paper bag.</w:t>
      </w:r>
    </w:p>
    <w:p>
      <w:pPr>
        <w:autoSpaceDE w:val="0"/>
        <w:autoSpaceDN w:val="0"/>
        <w:adjustRightInd w:val="0"/>
        <w:jc w:val="both"/>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Storage and transportation conditions：</w:t>
      </w:r>
      <w:r>
        <w:rPr>
          <w:rFonts w:hint="default" w:ascii="Times New Roman" w:hAnsi="Times New Roman" w:eastAsia="宋体" w:cs="Times New Roman"/>
          <w:color w:val="000000"/>
          <w:kern w:val="0"/>
          <w:sz w:val="28"/>
          <w:szCs w:val="28"/>
        </w:rPr>
        <w:t>This product is non-toxic and flame retardant. It can be handled according to the general chemical transportation regulations. It is strictly prohibited to transport it together with oxidants, edible chemicals, etc. Store in a dry, cool and ventilated place. Avoid direct sunlight and rain during transportation. The storage and transportation temperature should not be higher than 40 ℃.</w:t>
      </w:r>
    </w:p>
    <w:p>
      <w:pPr>
        <w:rPr>
          <w:rFonts w:hint="default" w:ascii="Times New Roman" w:hAnsi="Times New Roman" w:eastAsia="宋体" w:cs="Times New Roman"/>
        </w:rPr>
      </w:pPr>
      <w:r>
        <w:rPr>
          <w:rFonts w:hint="default" w:ascii="Times New Roman" w:hAnsi="Times New Roman" w:eastAsia="宋体" w:cs="Times New Roman"/>
          <w:b/>
          <w:bCs/>
          <w:color w:val="FF0000"/>
          <w:kern w:val="0"/>
          <w:sz w:val="28"/>
          <w:szCs w:val="28"/>
        </w:rPr>
        <w:t>Product shelf life：</w:t>
      </w:r>
      <w:r>
        <w:rPr>
          <w:rFonts w:hint="default" w:ascii="Times New Roman" w:hAnsi="Times New Roman" w:eastAsia="宋体" w:cs="Times New Roman"/>
          <w:kern w:val="0"/>
          <w:sz w:val="28"/>
          <w:szCs w:val="28"/>
        </w:rPr>
        <w:t>The shelf life is 6 months under the specified storage and transportation conditions.</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2"/>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AC525B"/>
    <w:rsid w:val="43ED1C79"/>
    <w:rsid w:val="6FB07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2022-03-28T08:20:00Z</dcterms:created>
  <dc:creator>Administrator</dc:creator>
  <cp:lastModifiedBy>☆桄爊爛╰☆╮</cp:lastModifiedBy>
  <dcterms:modified xsi:type="dcterms:W3CDTF">2022-03-28T09:04:48Z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