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bCs/>
          <w:color w:val="FF0000"/>
          <w:sz w:val="36"/>
          <w:szCs w:val="36"/>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color w:val="FF0000"/>
          <w:lang w:val="en-US" w:eastAsia="zh-CN"/>
        </w:rPr>
        <w:t xml:space="preserve"> </w:t>
      </w:r>
      <w:r>
        <w:rPr>
          <w:rFonts w:hint="default" w:ascii="Times New Roman" w:hAnsi="Times New Roman" w:cs="Times New Roman"/>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OXAB-501</w:t>
      </w:r>
      <w:r>
        <w:rPr>
          <w:rFonts w:hint="default" w:ascii="Times New Roman" w:hAnsi="Times New Roman" w:eastAsia="宋体" w:cs="Times New Roman"/>
          <w:b/>
          <w:bCs/>
          <w:color w:val="FF0000"/>
          <w:sz w:val="36"/>
          <w:szCs w:val="36"/>
          <w:lang w:val="en-US" w:eastAsia="zh-CN"/>
        </w:rPr>
        <w:t xml:space="preserve"> product description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cs="Times New Roman"/>
          <w:b/>
          <w:bCs/>
          <w:color w:val="auto"/>
          <w:sz w:val="28"/>
          <w:szCs w:val="28"/>
          <w:lang w:val="en-US" w:eastAsia="zh-CN"/>
        </w:rPr>
        <w:t>A</w:t>
      </w:r>
      <w:r>
        <w:rPr>
          <w:rFonts w:hint="default" w:ascii="Times New Roman" w:hAnsi="Times New Roman" w:eastAsia="宋体" w:cs="Times New Roman"/>
          <w:b/>
          <w:bCs/>
          <w:color w:val="auto"/>
          <w:sz w:val="28"/>
          <w:szCs w:val="28"/>
          <w:lang w:val="en-US" w:eastAsia="zh-CN"/>
        </w:rPr>
        <w:t>lkylene alkenyl polyoxyethylene ether</w:t>
      </w:r>
    </w:p>
    <w:p>
      <w:pPr>
        <w:rPr>
          <w:rFonts w:hint="default" w:ascii="Times New Roman" w:hAnsi="Times New Roman" w:cs="Times New Roman"/>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eastAsia" w:ascii="Times New Roman" w:hAnsi="Times New Roman" w:eastAsia="宋体" w:cs="Times New Roman"/>
          <w:color w:val="000000"/>
          <w:kern w:val="0"/>
          <w:sz w:val="28"/>
          <w:szCs w:val="28"/>
          <w:lang w:val="en-US" w:eastAsia="zh-CN"/>
        </w:rPr>
        <w:t>O</w:t>
      </w:r>
      <w:r>
        <w:rPr>
          <w:rFonts w:hint="eastAsia" w:ascii="Times New Roman" w:hAnsi="Times New Roman" w:eastAsia="宋体" w:cs="Times New Roman"/>
          <w:color w:val="000000"/>
          <w:kern w:val="0"/>
          <w:sz w:val="28"/>
          <w:szCs w:val="28"/>
          <w:lang w:val="en-US" w:eastAsia="zh-CN"/>
        </w:rPr>
        <w:t>XAB-501</w:t>
      </w:r>
      <w:r>
        <w:rPr>
          <w:rFonts w:hint="default" w:ascii="Times New Roman" w:hAnsi="Times New Roman" w:eastAsia="宋体" w:cs="Times New Roman"/>
          <w:color w:val="000000"/>
          <w:kern w:val="0"/>
          <w:sz w:val="28"/>
          <w:szCs w:val="28"/>
          <w:lang w:val="en-US" w:eastAsia="zh-CN"/>
        </w:rPr>
        <w:t xml:space="preserve"> product adopts the international leading full-automatic production line and narrow distribution catalytic polymerization production process, with</w:t>
      </w:r>
      <w:bookmarkStart w:id="0" w:name="_GoBack"/>
      <w:bookmarkEnd w:id="0"/>
      <w:r>
        <w:rPr>
          <w:rFonts w:hint="default" w:ascii="Times New Roman" w:hAnsi="Times New Roman" w:eastAsia="宋体" w:cs="Times New Roman"/>
          <w:color w:val="000000"/>
          <w:kern w:val="0"/>
          <w:sz w:val="28"/>
          <w:szCs w:val="28"/>
          <w:lang w:val="en-US" w:eastAsia="zh-CN"/>
        </w:rPr>
        <w:t xml:space="preserve"> large production batch, stable quality, narrow molecular weight dis</w:t>
      </w:r>
      <w:r>
        <w:rPr>
          <w:rFonts w:hint="default" w:ascii="Times New Roman" w:hAnsi="Times New Roman" w:cs="Times New Roman"/>
          <w:sz w:val="28"/>
          <w:szCs w:val="28"/>
          <w:lang w:val="en-US" w:eastAsia="zh-CN"/>
        </w:rPr>
        <w:t>tribution, low impurity content and high polymerization activity. The synthesized water reducer has outstanding slump retaining performance, good adaptability and superior comprehensive performance. The aqueous solution is stable and can be prepared into water agent products for sale, which is more convenient to use.s for sale and easy to use.</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sz w:val="28"/>
                <w:szCs w:val="28"/>
              </w:rPr>
              <w:t>OXAB-501</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flake</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firstLine="281" w:firstLineChars="100"/>
              <w:jc w:val="both"/>
              <w:rPr>
                <w:rFonts w:hint="eastAsia" w:ascii="Times New Roman" w:hAnsi="Times New Roman" w:cs="Times New Roman"/>
                <w:b/>
                <w:bCs/>
                <w:color w:val="333333"/>
                <w:kern w:val="0"/>
                <w:sz w:val="28"/>
                <w:szCs w:val="28"/>
                <w:lang w:val="en-US" w:eastAsia="zh-CN"/>
              </w:rPr>
            </w:pPr>
            <w:r>
              <w:rPr>
                <w:rFonts w:hint="default" w:ascii="Times New Roman" w:hAnsi="Times New Roman" w:eastAsia="宋体" w:cs="Times New Roman"/>
                <w:b/>
                <w:color w:val="333333"/>
                <w:kern w:val="0"/>
                <w:sz w:val="28"/>
                <w:szCs w:val="28"/>
                <w:lang w:val="en-US" w:eastAsia="zh-CN" w:bidi="ar"/>
              </w:rPr>
              <w:t>Hydroxyl value</w:t>
            </w:r>
            <w:r>
              <w:rPr>
                <w:rFonts w:hint="eastAsia" w:ascii="宋体" w:hAnsi="宋体" w:eastAsia="宋体" w:cs="宋体"/>
                <w:b/>
                <w:color w:val="333333"/>
                <w:kern w:val="0"/>
                <w:sz w:val="28"/>
                <w:szCs w:val="28"/>
                <w:lang w:val="en-US" w:eastAsia="zh-CN" w:bidi="ar"/>
              </w:rPr>
              <w:t>（</w:t>
            </w:r>
            <w:r>
              <w:rPr>
                <w:rFonts w:hint="default" w:ascii="Times New Roman" w:hAnsi="Times New Roman" w:eastAsia="宋体" w:cs="Times New Roman"/>
                <w:kern w:val="2"/>
                <w:sz w:val="28"/>
                <w:szCs w:val="28"/>
                <w:lang w:val="en-US" w:eastAsia="zh-CN" w:bidi="ar"/>
              </w:rPr>
              <w:t>mgKOH/g）</w:t>
            </w:r>
          </w:p>
        </w:tc>
        <w:tc>
          <w:tcPr>
            <w:tcW w:w="2580"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0"/>
                <w:sz w:val="28"/>
                <w:szCs w:val="28"/>
                <w:lang w:val="en-US" w:eastAsia="zh-CN"/>
              </w:rPr>
            </w:pPr>
            <w:r>
              <w:rPr>
                <w:rFonts w:hint="eastAsia" w:asciiTheme="minorHAnsi" w:hAnsiTheme="minorHAnsi" w:eastAsiaTheme="minorEastAsia" w:cstheme="minorBidi"/>
                <w:color w:val="333333"/>
                <w:kern w:val="0"/>
                <w:sz w:val="28"/>
                <w:szCs w:val="28"/>
                <w:lang w:val="en-US" w:eastAsia="zh-CN"/>
              </w:rPr>
              <w:t>22.0-25.0</w:t>
            </w:r>
          </w:p>
        </w:tc>
        <w:tc>
          <w:tcPr>
            <w:tcW w:w="2958"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0"/>
                <w:sz w:val="28"/>
                <w:szCs w:val="28"/>
                <w:lang w:val="en-US" w:eastAsia="zh-CN"/>
              </w:rPr>
            </w:pPr>
            <w:r>
              <w:rPr>
                <w:rFonts w:hint="eastAsia" w:asciiTheme="minorHAnsi" w:hAnsiTheme="minorHAnsi" w:eastAsiaTheme="minorEastAsia" w:cstheme="minorBidi"/>
                <w:color w:val="333333"/>
                <w:kern w:val="0"/>
                <w:sz w:val="28"/>
                <w:szCs w:val="28"/>
                <w:lang w:val="en-US" w:eastAsia="zh-CN"/>
              </w:rPr>
              <w:t>GB/T7383-2007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Iodine value（</w:t>
            </w:r>
            <w:r>
              <w:rPr>
                <w:rFonts w:hint="default" w:ascii="Times New Roman" w:hAnsi="Times New Roman" w:cs="Times New Roman"/>
                <w:sz w:val="28"/>
                <w:szCs w:val="28"/>
              </w:rPr>
              <w:t>mgKOH/g</w:t>
            </w:r>
            <w:r>
              <w:rPr>
                <w:rFonts w:hint="default" w:ascii="Times New Roman" w:hAnsi="Times New Roman"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cs="Times New Roman"/>
                <w:kern w:val="0"/>
                <w:sz w:val="28"/>
                <w:szCs w:val="28"/>
                <w:lang w:val="en-US" w:eastAsia="zh-CN"/>
              </w:rPr>
              <w:t>9</w:t>
            </w:r>
            <w:r>
              <w:rPr>
                <w:rFonts w:hint="default" w:ascii="Times New Roman" w:hAnsi="Times New Roman" w:eastAsia="宋体" w:cs="Times New Roman"/>
                <w:kern w:val="0"/>
                <w:sz w:val="28"/>
                <w:szCs w:val="28"/>
                <w:lang w:val="en-US" w:eastAsia="zh-CN"/>
              </w:rPr>
              <w:t>.6</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GB/T 13892-2012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cs="Times New Roman"/>
                <w:b/>
                <w:bCs/>
                <w:color w:val="333333"/>
                <w:kern w:val="0"/>
                <w:sz w:val="28"/>
                <w:szCs w:val="28"/>
                <w:lang w:val="en-US" w:eastAsia="zh-CN"/>
              </w:rPr>
              <w:t>p</w:t>
            </w:r>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5.0-7.0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Double bond retention（％）（≥）</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92</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cs="Times New Roman"/>
                <w:kern w:val="0"/>
                <w:sz w:val="28"/>
                <w:szCs w:val="28"/>
                <w:lang w:val="en-US" w:eastAsia="zh-CN"/>
              </w:rPr>
              <w:t>R</w:t>
            </w:r>
            <w:r>
              <w:rPr>
                <w:rFonts w:hint="default" w:ascii="Times New Roman" w:hAnsi="Times New Roman" w:eastAsia="宋体" w:cs="Times New Roman"/>
                <w:kern w:val="0"/>
                <w:sz w:val="28"/>
                <w:szCs w:val="28"/>
                <w:lang w:eastAsia="zh-CN"/>
              </w:rPr>
              <w:t>atio</w:t>
            </w:r>
          </w:p>
        </w:tc>
      </w:tr>
    </w:tbl>
    <w:p>
      <w:pPr>
        <w:widowControl/>
        <w:spacing w:before="100" w:beforeAutospacing="1" w:after="100" w:afterAutospacing="1"/>
        <w:rPr>
          <w:rFonts w:hint="default" w:ascii="Times New Roman" w:hAnsi="Times New Roman" w:eastAsia="宋体" w:cs="Times New Roman"/>
          <w:color w:val="000000"/>
          <w:kern w:val="0"/>
          <w:sz w:val="28"/>
          <w:szCs w:val="28"/>
          <w:lang w:val="en-US" w:eastAsia="zh-CN"/>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Sheet products are packed in 25kg composite plastic woven bags or paper bags</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This product is non-toxic and flame retardant, and can be handled according to the general chemical transportation regulations. It is strictly prohibited to mix with oxidants, reducing agents, acids, water and other chemicals for storage and transportation. Store in a dry, cool and ventilated place. Avoid direct sunlight and rain during transportation. The storage temperature should not be higher than 40 ℃.</w:t>
      </w:r>
    </w:p>
    <w:p>
      <w:pPr>
        <w:rPr>
          <w:rFonts w:hint="default" w:ascii="Times New Roman" w:hAnsi="Times New Roman"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The shelf life is 6 months under the specified storage and transportation conditions.</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8240"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1"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奥克图标_招股书用_无R"/>
                  <pic:cNvPicPr>
                    <a:picLocks noChangeAspect="1"/>
                  </pic:cNvPicPr>
                </pic:nvPicPr>
                <pic:blipFill>
                  <a:blip r:embed="rId1"/>
                  <a:stretch>
                    <a:fillRect/>
                  </a:stretch>
                </pic:blipFill>
                <pic:spPr>
                  <a:xfrm>
                    <a:off x="0" y="0"/>
                    <a:ext cx="533400" cy="533400"/>
                  </a:xfrm>
                  <a:prstGeom prst="rect">
                    <a:avLst/>
                  </a:prstGeom>
                  <a:noFill/>
                  <a:ln>
                    <a:noFill/>
                  </a:ln>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sz w:val="21"/>
        <w:szCs w:val="21"/>
        <w:lang w:val="en-US" w:eastAsia="zh-CN"/>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126A6"/>
    <w:rsid w:val="109675D4"/>
    <w:rsid w:val="11DC6904"/>
    <w:rsid w:val="5250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2022-03-28T08:41:44Z</dcterms:created>
  <dc:creator>Administrator</dc:creator>
  <cp:lastModifiedBy>☆桄爊爛╰☆╮</cp:lastModifiedBy>
  <dcterms:modified xsi:type="dcterms:W3CDTF">2022-03-28T08:59:17Z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