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9ABE" w14:textId="255499A1" w:rsidR="006D2915" w:rsidRDefault="00833976" w:rsidP="006D2915">
      <w:pPr>
        <w:jc w:val="center"/>
        <w:rPr>
          <w:rFonts w:asciiTheme="majorEastAsia" w:eastAsiaTheme="majorEastAsia" w:hAnsiTheme="majorEastAsia" w:cstheme="majorEastAsia"/>
          <w:color w:val="FF0000"/>
          <w:sz w:val="36"/>
          <w:szCs w:val="36"/>
        </w:rPr>
      </w:pPr>
      <w:r>
        <w:rPr>
          <w:rFonts w:hint="eastAsia"/>
        </w:rPr>
        <w:t xml:space="preserve">       </w:t>
      </w:r>
      <w:r w:rsidR="006D2915">
        <w:rPr>
          <w:b/>
          <w:bCs/>
          <w:color w:val="FF0000"/>
          <w:sz w:val="36"/>
          <w:szCs w:val="36"/>
          <w:lang w:val="en"/>
        </w:rPr>
        <w:t>Product description (polyethylene glycol</w:t>
      </w:r>
      <w:r w:rsidR="006D2915"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  <w:t>)</w:t>
      </w:r>
    </w:p>
    <w:p w14:paraId="47BDA071" w14:textId="77777777" w:rsidR="006D2915" w:rsidRDefault="006D2915" w:rsidP="00C53C78">
      <w:pPr>
        <w:rPr>
          <w:rFonts w:ascii="宋体" w:eastAsia="宋体" w:hAnsi="宋体" w:cs="宋体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P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28"/>
          <w:szCs w:val="28"/>
        </w:rPr>
        <w:t>roduct Name</w:t>
      </w:r>
      <w:r w:rsidR="00833976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</w:rPr>
        <w:t>：</w:t>
      </w:r>
      <w:r>
        <w:rPr>
          <w:sz w:val="28"/>
          <w:szCs w:val="28"/>
          <w:lang w:val="en"/>
        </w:rPr>
        <w:t>polyethylene glycol</w:t>
      </w:r>
    </w:p>
    <w:p w14:paraId="64600025" w14:textId="2E677E0A" w:rsidR="0015510B" w:rsidRPr="004A4BB9" w:rsidRDefault="006D2915" w:rsidP="004A4BB9">
      <w:pPr>
        <w:pStyle w:val="a3"/>
        <w:spacing w:line="440" w:lineRule="exact"/>
        <w:ind w:left="0" w:right="215"/>
        <w:rPr>
          <w:rFonts w:ascii="宋体" w:eastAsia="宋体" w:hAnsi="宋体" w:cs="宋体"/>
          <w:sz w:val="28"/>
          <w:szCs w:val="28"/>
          <w:lang w:val="en"/>
        </w:rPr>
      </w:pPr>
      <w:r w:rsidRPr="006D2915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  <w:lang w:val="en-US"/>
        </w:rPr>
        <w:t>Product</w:t>
      </w:r>
      <w:r w:rsidRPr="006D2915">
        <w:rPr>
          <w:rFonts w:asciiTheme="majorEastAsia" w:eastAsiaTheme="majorEastAsia" w:hAnsiTheme="majorEastAsia" w:cstheme="majorEastAsia"/>
          <w:b/>
          <w:bCs/>
          <w:color w:val="FF0000"/>
          <w:sz w:val="28"/>
          <w:szCs w:val="28"/>
          <w:lang w:val="en-US"/>
        </w:rPr>
        <w:t xml:space="preserve"> application</w:t>
      </w:r>
      <w:r w:rsidR="00833976">
        <w:rPr>
          <w:rFonts w:asciiTheme="majorEastAsia" w:eastAsiaTheme="majorEastAsia" w:hAnsiTheme="majorEastAsia" w:cstheme="majorEastAsia" w:hint="eastAsia"/>
          <w:b/>
          <w:bCs/>
          <w:color w:val="FF0000"/>
          <w:sz w:val="28"/>
          <w:szCs w:val="28"/>
          <w:lang w:val="en-US"/>
        </w:rPr>
        <w:t>：</w:t>
      </w:r>
      <w:r>
        <w:rPr>
          <w:spacing w:val="-11"/>
          <w:sz w:val="28"/>
          <w:szCs w:val="28"/>
          <w:lang w:val="en"/>
        </w:rPr>
        <w:t xml:space="preserve">The series of </w:t>
      </w:r>
      <w:r w:rsidRPr="006D2915">
        <w:rPr>
          <w:rFonts w:ascii="宋体" w:eastAsia="宋体" w:hAnsi="宋体" w:cs="宋体" w:hint="eastAsia"/>
          <w:sz w:val="28"/>
          <w:szCs w:val="28"/>
          <w:lang w:val="en-US"/>
        </w:rPr>
        <w:t>PEG</w:t>
      </w:r>
      <w:r>
        <w:rPr>
          <w:spacing w:val="-11"/>
          <w:sz w:val="28"/>
          <w:szCs w:val="28"/>
          <w:lang w:val="en"/>
        </w:rPr>
        <w:t xml:space="preserve"> is non-toxic, non-irritating, has good water solubility, and has </w:t>
      </w:r>
      <w:r>
        <w:rPr>
          <w:spacing w:val="-8"/>
          <w:sz w:val="28"/>
          <w:szCs w:val="28"/>
          <w:lang w:val="en"/>
        </w:rPr>
        <w:t>good compatibility</w:t>
      </w:r>
      <w:r>
        <w:rPr>
          <w:lang w:val="en"/>
        </w:rPr>
        <w:t xml:space="preserve"> with many organic components</w:t>
      </w:r>
      <w:r w:rsidR="00833976" w:rsidRPr="006D2915">
        <w:rPr>
          <w:rFonts w:ascii="宋体" w:eastAsia="宋体" w:hAnsi="宋体" w:cs="宋体" w:hint="eastAsia"/>
          <w:spacing w:val="-8"/>
          <w:sz w:val="28"/>
          <w:szCs w:val="28"/>
          <w:lang w:val="en-US"/>
        </w:rPr>
        <w:t>，</w:t>
      </w:r>
      <w:r>
        <w:rPr>
          <w:spacing w:val="-8"/>
          <w:sz w:val="28"/>
          <w:szCs w:val="28"/>
          <w:lang w:val="en"/>
        </w:rPr>
        <w:t xml:space="preserve">It has excellent lubricity, moisturizing, dispersion, adhesive, antistatic agent and </w:t>
      </w:r>
      <w:r>
        <w:rPr>
          <w:spacing w:val="-10"/>
          <w:sz w:val="28"/>
          <w:szCs w:val="28"/>
          <w:lang w:val="en"/>
        </w:rPr>
        <w:t>softener</w:t>
      </w:r>
      <w:r w:rsidR="00833976" w:rsidRPr="006D2915">
        <w:rPr>
          <w:rFonts w:ascii="宋体" w:eastAsia="宋体" w:hAnsi="宋体" w:cs="宋体" w:hint="eastAsia"/>
          <w:spacing w:val="-10"/>
          <w:sz w:val="28"/>
          <w:szCs w:val="28"/>
          <w:lang w:val="en-US"/>
        </w:rPr>
        <w:t>，</w:t>
      </w:r>
      <w:r>
        <w:rPr>
          <w:spacing w:val="-10"/>
          <w:sz w:val="28"/>
          <w:szCs w:val="28"/>
          <w:lang w:val="en"/>
        </w:rPr>
        <w:t>It has been widely used in cosmetics, pharmaceuticals, chemical fibers, rubber, plastics, paper, paints, electroplating, pesticides, metal processing and food processing</w:t>
      </w:r>
      <w:r w:rsidR="004A4BB9">
        <w:rPr>
          <w:rFonts w:ascii="宋体" w:eastAsia="宋体" w:hAnsi="宋体" w:cs="宋体"/>
          <w:spacing w:val="-10"/>
          <w:sz w:val="28"/>
          <w:szCs w:val="28"/>
          <w:lang w:val="en"/>
        </w:rPr>
        <w:t>.</w:t>
      </w:r>
    </w:p>
    <w:p w14:paraId="51F27278" w14:textId="53ECEC1B" w:rsidR="0015510B" w:rsidRDefault="006D2915">
      <w:pPr>
        <w:rPr>
          <w:rFonts w:ascii="Times New Roman" w:eastAsia="宋体" w:hAnsi="宋体" w:cs="Times New Roman"/>
          <w:b/>
          <w:color w:val="FF0000"/>
          <w:kern w:val="0"/>
          <w:sz w:val="28"/>
          <w:szCs w:val="28"/>
        </w:rPr>
      </w:pPr>
      <w:r>
        <w:rPr>
          <w:b/>
          <w:color w:val="FF0000"/>
          <w:kern w:val="0"/>
          <w:sz w:val="28"/>
          <w:szCs w:val="28"/>
          <w:lang w:val="en"/>
        </w:rPr>
        <w:t>Quality indicators</w:t>
      </w:r>
      <w:r w:rsidR="00833976">
        <w:rPr>
          <w:rFonts w:ascii="Times New Roman" w:eastAsia="宋体" w:hAnsi="宋体" w:cs="Times New Roman"/>
          <w:b/>
          <w:color w:val="FF0000"/>
          <w:kern w:val="0"/>
          <w:sz w:val="28"/>
          <w:szCs w:val="28"/>
        </w:rPr>
        <w:t>：</w:t>
      </w:r>
    </w:p>
    <w:p w14:paraId="5D1E3611" w14:textId="3FB2555D" w:rsidR="0015510B" w:rsidRDefault="00C55391">
      <w:pPr>
        <w:pStyle w:val="a7"/>
        <w:jc w:val="center"/>
        <w:rPr>
          <w:szCs w:val="21"/>
          <w:lang w:val="en"/>
        </w:rPr>
      </w:pPr>
      <w:r>
        <w:rPr>
          <w:szCs w:val="21"/>
          <w:lang w:val="en"/>
        </w:rPr>
        <w:t>Table 1</w:t>
      </w:r>
      <w:r w:rsidR="00833976">
        <w:rPr>
          <w:rFonts w:ascii="黑体" w:eastAsia="黑体" w:hAnsi="宋体" w:cs="黑体" w:hint="eastAsia"/>
          <w:bCs/>
          <w:kern w:val="2"/>
          <w:szCs w:val="21"/>
          <w:lang w:bidi="ar"/>
        </w:rPr>
        <w:t xml:space="preserve"> </w:t>
      </w:r>
      <w:r>
        <w:rPr>
          <w:szCs w:val="21"/>
          <w:lang w:val="en"/>
        </w:rPr>
        <w:t>Liquid polyethylene glycol quality index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922"/>
        <w:gridCol w:w="1387"/>
        <w:gridCol w:w="1353"/>
        <w:gridCol w:w="1785"/>
        <w:gridCol w:w="1136"/>
      </w:tblGrid>
      <w:tr w:rsidR="006D2915" w14:paraId="5E54E79C" w14:textId="77777777" w:rsidTr="00965587">
        <w:trPr>
          <w:trHeight w:val="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ECD" w14:textId="14B30A3F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Item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FD2" w14:textId="52CAECF0" w:rsidR="006D2915" w:rsidRDefault="006D2915" w:rsidP="00965587">
            <w:pPr>
              <w:tabs>
                <w:tab w:val="left" w:pos="975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appearance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（25℃）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83F" w14:textId="3A41E106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chroma</w:t>
            </w:r>
            <w:r>
              <w:rPr>
                <w:rFonts w:ascii="宋体" w:hAnsi="宋体" w:cs="宋体" w:hint="eastAsia"/>
                <w:szCs w:val="21"/>
                <w:lang w:bidi="ar"/>
              </w:rPr>
              <w:t xml:space="preserve"> (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Hazen) ≤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220" w14:textId="3DD2AC2A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Average molecular weight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C46" w14:textId="17B03E20" w:rsidR="006D2915" w:rsidRDefault="006D2915" w:rsidP="0096558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pH </w:t>
            </w:r>
            <w:proofErr w:type="gramStart"/>
            <w:r>
              <w:rPr>
                <w:rFonts w:ascii="宋体" w:eastAsia="宋体" w:hAnsi="宋体" w:cs="宋体"/>
                <w:szCs w:val="21"/>
                <w:lang w:bidi="ar"/>
              </w:rPr>
              <w:t>level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5%</w:t>
            </w:r>
            <w:r>
              <w:rPr>
                <w:szCs w:val="21"/>
                <w:lang w:val="en"/>
              </w:rPr>
              <w:t>aqueous solution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3C9" w14:textId="2EF3530E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moisture content</w:t>
            </w:r>
            <w:r>
              <w:rPr>
                <w:rFonts w:ascii="宋体" w:hAnsi="宋体" w:cs="宋体" w:hint="eastAsia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% ≤</w:t>
            </w:r>
          </w:p>
        </w:tc>
      </w:tr>
      <w:tr w:rsidR="006D2915" w14:paraId="70015505" w14:textId="77777777" w:rsidTr="00965587">
        <w:trPr>
          <w:trHeight w:val="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398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BF2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透明液体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B53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519" w14:textId="77777777" w:rsidR="006D2915" w:rsidRDefault="006D2915" w:rsidP="00965587">
            <w:pPr>
              <w:tabs>
                <w:tab w:val="left" w:pos="195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195～205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0AC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FFD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0.20</w:t>
            </w:r>
          </w:p>
        </w:tc>
      </w:tr>
      <w:tr w:rsidR="006D2915" w14:paraId="48C7AA85" w14:textId="77777777" w:rsidTr="00965587">
        <w:trPr>
          <w:trHeight w:val="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13F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566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透明液体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91B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C7D" w14:textId="77777777" w:rsidR="006D2915" w:rsidRDefault="006D2915" w:rsidP="00965587">
            <w:pPr>
              <w:tabs>
                <w:tab w:val="left" w:pos="165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395～415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C6C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9E1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0.20</w:t>
            </w:r>
          </w:p>
        </w:tc>
      </w:tr>
      <w:tr w:rsidR="006D2915" w14:paraId="138B44C4" w14:textId="77777777" w:rsidTr="00965587">
        <w:trPr>
          <w:trHeight w:val="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97C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35E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透明液体或白色膏状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544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C8F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585～615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F09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～7.0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1E0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0.20</w:t>
            </w:r>
          </w:p>
        </w:tc>
      </w:tr>
      <w:tr w:rsidR="006D2915" w14:paraId="0697CEA0" w14:textId="77777777" w:rsidTr="00965587">
        <w:trPr>
          <w:trHeight w:val="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661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367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白色膏体或液体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9EE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C30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785～815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747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～7.0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078" w14:textId="77777777" w:rsidR="006D2915" w:rsidRDefault="006D2915" w:rsidP="0096558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0.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20</w:t>
            </w:r>
          </w:p>
        </w:tc>
      </w:tr>
    </w:tbl>
    <w:p w14:paraId="06AED6D5" w14:textId="77777777" w:rsidR="0015510B" w:rsidRDefault="0015510B">
      <w:pPr>
        <w:rPr>
          <w:rFonts w:ascii="宋体" w:eastAsia="宋体" w:hAnsi="宋体" w:cs="宋体"/>
          <w:bCs/>
          <w:szCs w:val="21"/>
          <w:lang w:bidi="ar"/>
        </w:rPr>
      </w:pPr>
    </w:p>
    <w:p w14:paraId="7C744ACB" w14:textId="77777777" w:rsidR="0015510B" w:rsidRDefault="00C55391">
      <w:pPr>
        <w:jc w:val="center"/>
        <w:rPr>
          <w:rFonts w:ascii="黑体" w:eastAsia="黑体" w:hAnsi="宋体" w:cs="黑体"/>
          <w:bCs/>
          <w:szCs w:val="21"/>
        </w:rPr>
      </w:pPr>
      <w:r>
        <w:rPr>
          <w:szCs w:val="21"/>
          <w:lang w:val="en"/>
        </w:rPr>
        <w:t xml:space="preserve">Table </w:t>
      </w:r>
      <w:proofErr w:type="gramStart"/>
      <w:r>
        <w:rPr>
          <w:szCs w:val="21"/>
          <w:lang w:val="en"/>
        </w:rPr>
        <w:t>2</w:t>
      </w:r>
      <w:r w:rsidR="00833976">
        <w:rPr>
          <w:rFonts w:ascii="黑体" w:eastAsia="黑体" w:hAnsi="宋体" w:cs="黑体" w:hint="eastAsia"/>
          <w:bCs/>
          <w:szCs w:val="21"/>
          <w:lang w:bidi="ar"/>
        </w:rPr>
        <w:t xml:space="preserve">  </w:t>
      </w:r>
      <w:r>
        <w:rPr>
          <w:szCs w:val="21"/>
          <w:lang w:val="en"/>
        </w:rPr>
        <w:t>Solid</w:t>
      </w:r>
      <w:proofErr w:type="gramEnd"/>
      <w:r>
        <w:rPr>
          <w:szCs w:val="21"/>
          <w:lang w:val="en"/>
        </w:rPr>
        <w:t xml:space="preserve"> polyethylene glycol Quality index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107"/>
        <w:gridCol w:w="1314"/>
        <w:gridCol w:w="1314"/>
        <w:gridCol w:w="1240"/>
        <w:gridCol w:w="1722"/>
      </w:tblGrid>
      <w:tr w:rsidR="0015510B" w14:paraId="1747D8D0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E67" w14:textId="77777777" w:rsidR="0015510B" w:rsidRPr="00C55391" w:rsidRDefault="00C55391">
            <w:pPr>
              <w:jc w:val="center"/>
              <w:rPr>
                <w:rFonts w:eastAsia="宋体" w:cstheme="minorHAnsi"/>
                <w:szCs w:val="21"/>
              </w:rPr>
            </w:pPr>
            <w:r w:rsidRPr="00C55391">
              <w:rPr>
                <w:rFonts w:eastAsia="宋体" w:cstheme="minorHAnsi"/>
                <w:szCs w:val="21"/>
                <w:lang w:bidi="ar"/>
              </w:rPr>
              <w:t>It</w:t>
            </w:r>
            <w:r w:rsidRPr="00C55391">
              <w:rPr>
                <w:rFonts w:cstheme="minorHAnsi"/>
                <w:szCs w:val="21"/>
                <w:lang w:val="en"/>
              </w:rPr>
              <w:t>em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440" w14:textId="77777777" w:rsidR="0015510B" w:rsidRDefault="00C55391">
            <w:pPr>
              <w:tabs>
                <w:tab w:val="left" w:pos="975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 xml:space="preserve">appearance  </w:t>
            </w:r>
            <w:r w:rsidR="00833976">
              <w:rPr>
                <w:rFonts w:ascii="宋体" w:eastAsia="宋体" w:hAnsi="宋体" w:cs="宋体" w:hint="eastAsia"/>
                <w:szCs w:val="21"/>
                <w:lang w:bidi="ar"/>
              </w:rPr>
              <w:t>（25℃）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2E1" w14:textId="77777777" w:rsidR="0015510B" w:rsidRDefault="00C55391">
            <w:pPr>
              <w:tabs>
                <w:tab w:val="left" w:pos="975"/>
              </w:tabs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szCs w:val="21"/>
                <w:lang w:val="en"/>
              </w:rPr>
              <w:t>chroma</w:t>
            </w:r>
            <w:r w:rsidR="00833976">
              <w:rPr>
                <w:rFonts w:ascii="宋体" w:eastAsia="宋体" w:hAnsi="宋体" w:cs="宋体" w:hint="eastAsia"/>
                <w:szCs w:val="21"/>
                <w:lang w:bidi="ar"/>
              </w:rPr>
              <w:t>(Hazen) ≤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474" w14:textId="77777777" w:rsidR="0015510B" w:rsidRDefault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Average molecular weight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381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pH</w:t>
            </w:r>
            <w:r w:rsidR="00C55391">
              <w:rPr>
                <w:rFonts w:ascii="宋体" w:eastAsia="宋体" w:hAnsi="宋体" w:cs="宋体" w:hint="eastAsia"/>
                <w:szCs w:val="21"/>
                <w:lang w:bidi="ar"/>
              </w:rPr>
              <w:t xml:space="preserve"> </w:t>
            </w:r>
            <w:proofErr w:type="gramStart"/>
            <w:r w:rsidR="00C55391">
              <w:rPr>
                <w:rFonts w:ascii="宋体" w:eastAsia="宋体" w:hAnsi="宋体" w:cs="宋体"/>
                <w:szCs w:val="21"/>
                <w:lang w:bidi="ar"/>
              </w:rPr>
              <w:t>level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(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5%</w:t>
            </w:r>
            <w:r w:rsidR="00C55391">
              <w:rPr>
                <w:szCs w:val="21"/>
                <w:lang w:val="en"/>
              </w:rPr>
              <w:t>aqueous solution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BC7" w14:textId="77777777" w:rsidR="0015510B" w:rsidRDefault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Kinematic viscosity</w:t>
            </w:r>
            <w:r w:rsidR="00833976">
              <w:rPr>
                <w:rFonts w:ascii="宋体" w:eastAsia="宋体" w:hAnsi="宋体" w:cs="宋体" w:hint="eastAsia"/>
                <w:szCs w:val="21"/>
                <w:lang w:bidi="ar"/>
              </w:rPr>
              <w:t>（40℃）/（mm</w:t>
            </w:r>
            <w:r w:rsidR="00833976">
              <w:rPr>
                <w:rFonts w:ascii="宋体" w:eastAsia="宋体" w:hAnsi="宋体" w:cs="宋体" w:hint="eastAsia"/>
                <w:szCs w:val="21"/>
                <w:vertAlign w:val="superscript"/>
                <w:lang w:bidi="ar"/>
              </w:rPr>
              <w:t>2</w:t>
            </w:r>
            <w:r w:rsidR="00833976">
              <w:rPr>
                <w:rFonts w:ascii="宋体" w:eastAsia="宋体" w:hAnsi="宋体" w:cs="宋体" w:hint="eastAsia"/>
                <w:szCs w:val="21"/>
                <w:lang w:bidi="ar"/>
              </w:rPr>
              <w:t>/s）（25%aq）</w:t>
            </w:r>
          </w:p>
        </w:tc>
      </w:tr>
      <w:tr w:rsidR="0015510B" w14:paraId="5EDB04DB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D08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PEG1000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1F5" w14:textId="77777777" w:rsidR="0015510B" w:rsidRDefault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White waxy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CFB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F17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950～1050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140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3AB" w14:textId="77777777" w:rsidR="0015510B" w:rsidRDefault="00833976">
            <w:pPr>
              <w:tabs>
                <w:tab w:val="left" w:pos="495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—</w:t>
            </w:r>
          </w:p>
        </w:tc>
      </w:tr>
      <w:tr w:rsidR="0015510B" w14:paraId="57624B96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851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</w:t>
            </w:r>
            <w:r>
              <w:rPr>
                <w:rFonts w:ascii="宋体" w:hAnsi="宋体" w:cs="宋体" w:hint="eastAsia"/>
                <w:szCs w:val="21"/>
                <w:lang w:bidi="ar"/>
              </w:rPr>
              <w:t>1500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E56" w14:textId="77777777" w:rsidR="0015510B" w:rsidRDefault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White waxy or flaky</w:t>
            </w:r>
            <w:r>
              <w:rPr>
                <w:lang w:val="en"/>
              </w:rPr>
              <w:t xml:space="preserve"> </w:t>
            </w:r>
            <w:r>
              <w:rPr>
                <w:szCs w:val="21"/>
                <w:lang w:val="en"/>
              </w:rPr>
              <w:t>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AF3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0B9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1450～1550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E1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84C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—</w:t>
            </w:r>
          </w:p>
        </w:tc>
      </w:tr>
      <w:tr w:rsidR="0015510B" w14:paraId="3E783D70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C9F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PEG2000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583" w14:textId="77777777" w:rsidR="0015510B" w:rsidRDefault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635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25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1800～2200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FA1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F80" w14:textId="77777777" w:rsidR="0015510B" w:rsidRDefault="0083397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4.0～5.0</w:t>
            </w:r>
          </w:p>
        </w:tc>
      </w:tr>
      <w:tr w:rsidR="00C55391" w14:paraId="64598E21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6A8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PEG3000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41F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5996"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1FA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00E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2800～3200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9ED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838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5.0～6.0</w:t>
            </w:r>
          </w:p>
        </w:tc>
      </w:tr>
      <w:tr w:rsidR="00C55391" w14:paraId="42B7CC26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442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PEG4000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3DF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5996"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16E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6B3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3800～4200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D6C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B25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6.0～8.0</w:t>
            </w:r>
          </w:p>
        </w:tc>
      </w:tr>
      <w:tr w:rsidR="00C55391" w14:paraId="014FBC85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240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PEG6000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FEC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5996"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64C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B4D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00～7000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CB4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D63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10.0～15.0</w:t>
            </w:r>
          </w:p>
        </w:tc>
      </w:tr>
      <w:tr w:rsidR="00C55391" w14:paraId="6A17274F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DB7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PEG8000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68C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5996"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1FC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464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7500～9000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3FB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45A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14.0～18.0</w:t>
            </w:r>
          </w:p>
        </w:tc>
      </w:tr>
      <w:tr w:rsidR="00C55391" w14:paraId="4DD4E5F3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101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PEG10000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E25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5996"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F8E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70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AAD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—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4DD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FB" w14:textId="77777777" w:rsidR="00C55391" w:rsidRDefault="00C55391" w:rsidP="00C55391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18.0～28.0</w:t>
            </w:r>
          </w:p>
        </w:tc>
      </w:tr>
      <w:tr w:rsidR="00C55391" w14:paraId="1865C5BB" w14:textId="77777777" w:rsidTr="00C55391">
        <w:trPr>
          <w:trHeight w:val="31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359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PEG20000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8FF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5996">
              <w:rPr>
                <w:szCs w:val="21"/>
                <w:lang w:val="en"/>
              </w:rPr>
              <w:t>White flaky solid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EA7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70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BCA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—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62D" w14:textId="77777777" w:rsidR="00C55391" w:rsidRDefault="00C55391" w:rsidP="00C55391">
            <w:pPr>
              <w:tabs>
                <w:tab w:val="left" w:pos="555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5.0～7.0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BE4" w14:textId="77777777" w:rsidR="00C55391" w:rsidRDefault="00C55391" w:rsidP="00C553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40.0～80.0</w:t>
            </w:r>
          </w:p>
        </w:tc>
      </w:tr>
    </w:tbl>
    <w:p w14:paraId="135F4804" w14:textId="77777777" w:rsidR="0015510B" w:rsidRDefault="00C55391">
      <w:pPr>
        <w:widowControl/>
        <w:spacing w:before="100" w:beforeAutospacing="1" w:after="100" w:afterAutospacing="1"/>
        <w:rPr>
          <w:rFonts w:ascii="Times New Roman" w:eastAsia="宋体" w:hAnsi="宋体" w:cs="Times New Roman"/>
          <w:b/>
          <w:bCs/>
          <w:color w:val="FF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kern w:val="0"/>
          <w:sz w:val="28"/>
          <w:szCs w:val="28"/>
        </w:rPr>
        <w:lastRenderedPageBreak/>
        <w:t>R</w:t>
      </w:r>
      <w:r>
        <w:rPr>
          <w:rFonts w:ascii="Times New Roman" w:eastAsia="宋体" w:hAnsi="宋体" w:cs="Times New Roman"/>
          <w:kern w:val="0"/>
          <w:sz w:val="28"/>
          <w:szCs w:val="28"/>
        </w:rPr>
        <w:t>emark</w:t>
      </w:r>
      <w:r w:rsidR="00833976">
        <w:rPr>
          <w:rFonts w:ascii="Times New Roman" w:eastAsia="宋体" w:hAnsi="宋体" w:cs="Times New Roman" w:hint="eastAsia"/>
          <w:kern w:val="0"/>
          <w:sz w:val="28"/>
          <w:szCs w:val="28"/>
        </w:rPr>
        <w:t>：</w:t>
      </w:r>
      <w:r>
        <w:rPr>
          <w:rFonts w:ascii="Times New Roman" w:eastAsia="宋体" w:hAnsi="宋体" w:cs="Times New Roman" w:hint="eastAsia"/>
          <w:kern w:val="0"/>
          <w:sz w:val="28"/>
          <w:szCs w:val="28"/>
        </w:rPr>
        <w:t>T</w:t>
      </w:r>
      <w:r>
        <w:rPr>
          <w:rFonts w:ascii="Times New Roman" w:eastAsia="宋体" w:hAnsi="宋体" w:cs="Times New Roman"/>
          <w:kern w:val="0"/>
          <w:sz w:val="28"/>
          <w:szCs w:val="28"/>
        </w:rPr>
        <w:t xml:space="preserve">est Method </w:t>
      </w:r>
      <w:r>
        <w:rPr>
          <w:rFonts w:ascii="Times New Roman" w:eastAsia="宋体" w:hAnsi="宋体" w:cs="Times New Roman" w:hint="eastAsia"/>
          <w:kern w:val="0"/>
          <w:sz w:val="28"/>
          <w:szCs w:val="28"/>
        </w:rPr>
        <w:t>i</w:t>
      </w:r>
      <w:r>
        <w:rPr>
          <w:rFonts w:ascii="Times New Roman" w:eastAsia="宋体" w:hAnsi="宋体" w:cs="Times New Roman"/>
          <w:kern w:val="0"/>
          <w:sz w:val="28"/>
          <w:szCs w:val="28"/>
        </w:rPr>
        <w:t xml:space="preserve">n </w:t>
      </w:r>
      <w:r w:rsidR="00833976">
        <w:rPr>
          <w:rFonts w:ascii="宋体" w:eastAsia="宋体" w:hAnsi="宋体" w:cs="宋体" w:hint="eastAsia"/>
          <w:sz w:val="28"/>
          <w:szCs w:val="28"/>
          <w:lang w:bidi="ar"/>
        </w:rPr>
        <w:t>HG/T4134-2010《</w:t>
      </w:r>
      <w:r>
        <w:rPr>
          <w:sz w:val="28"/>
          <w:szCs w:val="28"/>
          <w:lang w:val="en"/>
        </w:rPr>
        <w:t>Industrial polyethylene glycol</w:t>
      </w:r>
      <w:r w:rsidR="00833976">
        <w:rPr>
          <w:rFonts w:ascii="宋体" w:eastAsia="宋体" w:hAnsi="宋体" w:cs="宋体" w:hint="eastAsia"/>
          <w:sz w:val="28"/>
          <w:szCs w:val="28"/>
          <w:lang w:bidi="ar"/>
        </w:rPr>
        <w:t>（PEG）》</w:t>
      </w:r>
      <w:r>
        <w:rPr>
          <w:rFonts w:ascii="宋体" w:eastAsia="宋体" w:hAnsi="宋体" w:cs="宋体" w:hint="eastAsia"/>
          <w:sz w:val="28"/>
          <w:szCs w:val="28"/>
          <w:lang w:bidi="ar"/>
        </w:rPr>
        <w:t>.</w:t>
      </w:r>
    </w:p>
    <w:p w14:paraId="495A73F4" w14:textId="77777777" w:rsidR="0015510B" w:rsidRDefault="00C55391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sz w:val="28"/>
          <w:szCs w:val="28"/>
        </w:rPr>
      </w:pPr>
      <w:r w:rsidRPr="00C55391">
        <w:rPr>
          <w:rFonts w:ascii="Times New Roman" w:eastAsia="宋体" w:hAnsi="宋体" w:cs="Times New Roman"/>
          <w:b/>
          <w:bCs/>
          <w:color w:val="FF0000"/>
          <w:kern w:val="0"/>
          <w:sz w:val="28"/>
          <w:szCs w:val="28"/>
        </w:rPr>
        <w:t>Packing specifications</w:t>
      </w:r>
      <w:r w:rsidR="00833976">
        <w:rPr>
          <w:rFonts w:ascii="Times New Roman" w:eastAsia="宋体" w:hAnsi="宋体" w:cs="Times New Roman"/>
          <w:b/>
          <w:bCs/>
          <w:color w:val="FF0000"/>
          <w:kern w:val="0"/>
          <w:sz w:val="28"/>
          <w:szCs w:val="28"/>
        </w:rPr>
        <w:t>：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="0083397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25KG/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b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ucket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 xml:space="preserve">or </w:t>
      </w:r>
      <w:r w:rsidR="0083397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200Kg/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b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arrel by liquid</w:t>
      </w:r>
      <w:r w:rsidR="0083397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，</w:t>
      </w:r>
      <w:r>
        <w:rPr>
          <w:color w:val="000000"/>
          <w:kern w:val="0"/>
          <w:sz w:val="28"/>
          <w:szCs w:val="28"/>
          <w:lang w:val="en"/>
        </w:rPr>
        <w:t>Composite plastic woven bag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 xml:space="preserve">or </w:t>
      </w:r>
      <w:r>
        <w:rPr>
          <w:color w:val="000000"/>
          <w:kern w:val="0"/>
          <w:sz w:val="28"/>
          <w:szCs w:val="28"/>
          <w:lang w:val="en"/>
        </w:rPr>
        <w:t xml:space="preserve">Paper bags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25kg/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bag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by </w:t>
      </w:r>
      <w:r>
        <w:rPr>
          <w:color w:val="000000"/>
          <w:kern w:val="0"/>
          <w:sz w:val="28"/>
          <w:szCs w:val="28"/>
          <w:lang w:val="en"/>
        </w:rPr>
        <w:t>Flake products</w:t>
      </w:r>
      <w:r w:rsidR="00833976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；</w:t>
      </w:r>
    </w:p>
    <w:p w14:paraId="2E1F41D1" w14:textId="77777777" w:rsidR="0015510B" w:rsidRDefault="00C55391">
      <w:pPr>
        <w:pStyle w:val="a6"/>
        <w:widowControl/>
        <w:spacing w:beforeAutospacing="0" w:afterAutospacing="0"/>
        <w:rPr>
          <w:rFonts w:ascii="Times New Roman" w:eastAsia="宋体" w:hAnsi="Times New Roman"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"/>
        </w:rPr>
        <w:t>Storage and transportation conditions</w:t>
      </w:r>
      <w:r w:rsidR="00833976">
        <w:rPr>
          <w:rFonts w:ascii="Times New Roman" w:eastAsia="宋体" w:hAnsi="宋体"/>
          <w:b/>
          <w:bCs/>
          <w:color w:val="FF0000"/>
          <w:sz w:val="28"/>
          <w:szCs w:val="28"/>
        </w:rPr>
        <w:t>：</w:t>
      </w:r>
      <w:r w:rsidR="00833976">
        <w:rPr>
          <w:rFonts w:ascii="宋体" w:eastAsia="宋体" w:hAnsi="宋体" w:cs="宋体" w:hint="eastAsi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  <w:lang w:val="en"/>
        </w:rPr>
        <w:t>This series of products is non-toxic and non-flammable</w:t>
      </w:r>
      <w:r w:rsidR="00833976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  <w:lang w:val="en"/>
        </w:rPr>
        <w:t>During transportation, the sun and rainforest should be prevented and the packaging should be kept intact</w:t>
      </w:r>
      <w:r w:rsidR="00833976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  <w:r>
        <w:rPr>
          <w:color w:val="000000"/>
          <w:sz w:val="28"/>
          <w:szCs w:val="28"/>
          <w:lang w:val="en"/>
        </w:rPr>
        <w:t>Store in a cool, dry, ventilated place</w:t>
      </w:r>
      <w:r w:rsidR="00833976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14:paraId="002CB12B" w14:textId="77777777" w:rsidR="0015510B" w:rsidRDefault="00C55391">
      <w:r>
        <w:rPr>
          <w:b/>
          <w:bCs/>
          <w:color w:val="FF0000"/>
          <w:kern w:val="0"/>
          <w:sz w:val="28"/>
          <w:szCs w:val="28"/>
          <w:lang w:val="en"/>
        </w:rPr>
        <w:t>Product shelf life</w:t>
      </w:r>
      <w:r w:rsidR="00833976">
        <w:rPr>
          <w:rFonts w:ascii="Times New Roman" w:eastAsia="宋体" w:hAnsi="宋体" w:cs="Times New Roman"/>
          <w:b/>
          <w:bCs/>
          <w:color w:val="FF0000"/>
          <w:kern w:val="0"/>
          <w:sz w:val="28"/>
          <w:szCs w:val="28"/>
        </w:rPr>
        <w:t>：</w:t>
      </w:r>
      <w:r w:rsidR="00833976">
        <w:rPr>
          <w:rFonts w:ascii="Times New Roman" w:eastAsia="宋体" w:hAnsi="宋体" w:cs="Times New Roman" w:hint="eastAsia"/>
          <w:b/>
          <w:bCs/>
          <w:color w:val="FF0000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 w:val="en"/>
        </w:rPr>
        <w:t xml:space="preserve">Under the prescribed storage </w:t>
      </w:r>
      <w:proofErr w:type="spellStart"/>
      <w:r>
        <w:rPr>
          <w:kern w:val="0"/>
          <w:sz w:val="28"/>
          <w:szCs w:val="28"/>
          <w:lang w:val="en"/>
        </w:rPr>
        <w:t>conditions,The</w:t>
      </w:r>
      <w:proofErr w:type="spellEnd"/>
      <w:r>
        <w:rPr>
          <w:kern w:val="0"/>
          <w:sz w:val="28"/>
          <w:szCs w:val="28"/>
          <w:lang w:val="en"/>
        </w:rPr>
        <w:t xml:space="preserve"> shelf life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of</w:t>
      </w:r>
      <w:r>
        <w:rPr>
          <w:lang w:val="en"/>
        </w:rPr>
        <w:t xml:space="preserve"> PEG6000 </w:t>
      </w:r>
      <w:r>
        <w:rPr>
          <w:kern w:val="0"/>
          <w:sz w:val="28"/>
          <w:szCs w:val="28"/>
          <w:lang w:val="en"/>
        </w:rPr>
        <w:t>and below</w:t>
      </w:r>
      <w:r>
        <w:rPr>
          <w:lang w:val="en"/>
        </w:rPr>
        <w:t xml:space="preserve"> is </w:t>
      </w:r>
      <w:r>
        <w:rPr>
          <w:kern w:val="0"/>
          <w:sz w:val="28"/>
          <w:szCs w:val="28"/>
          <w:lang w:val="en"/>
        </w:rPr>
        <w:t>2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years</w:t>
      </w:r>
      <w:r w:rsidR="00833976">
        <w:rPr>
          <w:rFonts w:ascii="Times New Roman" w:eastAsia="宋体" w:hAnsi="宋体" w:cs="Times New Roman" w:hint="eastAsia"/>
          <w:kern w:val="0"/>
          <w:sz w:val="28"/>
          <w:szCs w:val="28"/>
        </w:rPr>
        <w:t>，</w:t>
      </w:r>
      <w:r>
        <w:rPr>
          <w:kern w:val="0"/>
          <w:sz w:val="28"/>
          <w:szCs w:val="28"/>
          <w:lang w:val="en"/>
        </w:rPr>
        <w:t>The shelf life of PEG8000,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PEG10000,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PEG20000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products is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1</w:t>
      </w:r>
      <w:r>
        <w:rPr>
          <w:lang w:val="en"/>
        </w:rPr>
        <w:t xml:space="preserve"> </w:t>
      </w:r>
      <w:r>
        <w:rPr>
          <w:kern w:val="0"/>
          <w:sz w:val="28"/>
          <w:szCs w:val="28"/>
          <w:lang w:val="en"/>
        </w:rPr>
        <w:t>year</w:t>
      </w:r>
      <w:r w:rsidR="00833976">
        <w:rPr>
          <w:rFonts w:ascii="Times New Roman" w:eastAsia="宋体" w:hAnsi="宋体" w:cs="Times New Roman"/>
          <w:kern w:val="0"/>
          <w:sz w:val="28"/>
          <w:szCs w:val="28"/>
        </w:rPr>
        <w:t>。</w:t>
      </w:r>
    </w:p>
    <w:sectPr w:rsidR="001551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6C57" w14:textId="77777777" w:rsidR="007C7ADC" w:rsidRDefault="007C7ADC">
      <w:r>
        <w:separator/>
      </w:r>
    </w:p>
  </w:endnote>
  <w:endnote w:type="continuationSeparator" w:id="0">
    <w:p w14:paraId="124F57BA" w14:textId="77777777" w:rsidR="007C7ADC" w:rsidRDefault="007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2EBF" w14:textId="77777777" w:rsidR="007C7ADC" w:rsidRDefault="007C7ADC">
      <w:r>
        <w:separator/>
      </w:r>
    </w:p>
  </w:footnote>
  <w:footnote w:type="continuationSeparator" w:id="0">
    <w:p w14:paraId="2492716B" w14:textId="77777777" w:rsidR="007C7ADC" w:rsidRDefault="007C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AC2" w14:textId="77777777" w:rsidR="0015510B" w:rsidRDefault="00833976">
    <w:pPr>
      <w:pStyle w:val="a5"/>
      <w:jc w:val="left"/>
      <w:rPr>
        <w:rFonts w:ascii="楷体" w:eastAsia="楷体" w:hAnsi="楷体" w:cs="楷体"/>
        <w:color w:val="002060"/>
        <w:sz w:val="21"/>
        <w:szCs w:val="21"/>
      </w:rPr>
    </w:pPr>
    <w:r>
      <w:rPr>
        <w:rFonts w:ascii="宋体" w:hAnsi="宋体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B4DFDD" wp14:editId="52FD0577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宋体" w:hAnsi="宋体" w:hint="eastAsia"/>
        <w:sz w:val="28"/>
        <w:szCs w:val="28"/>
      </w:rPr>
      <w:t xml:space="preserve">                                              </w:t>
    </w:r>
    <w:r>
      <w:rPr>
        <w:rFonts w:ascii="楷体" w:eastAsia="楷体" w:hAnsi="楷体" w:cs="楷体" w:hint="eastAsia"/>
        <w:color w:val="002060"/>
        <w:sz w:val="21"/>
        <w:szCs w:val="21"/>
      </w:rPr>
      <w:t xml:space="preserve">共创共享  </w:t>
    </w:r>
  </w:p>
  <w:p w14:paraId="1BA2B5F6" w14:textId="77777777" w:rsidR="0015510B" w:rsidRDefault="00833976">
    <w:pPr>
      <w:pStyle w:val="a5"/>
      <w:ind w:firstLineChars="500" w:firstLine="1050"/>
      <w:jc w:val="left"/>
      <w:rPr>
        <w:rFonts w:ascii="楷体" w:eastAsia="楷体" w:hAnsi="楷体" w:cs="楷体"/>
        <w:sz w:val="24"/>
      </w:rPr>
    </w:pPr>
    <w:r>
      <w:rPr>
        <w:rFonts w:ascii="楷体" w:eastAsia="楷体" w:hAnsi="楷体" w:cs="楷体" w:hint="eastAsia"/>
        <w:color w:val="002060"/>
        <w:sz w:val="21"/>
        <w:szCs w:val="21"/>
      </w:rPr>
      <w:t>OXRIAN Chemical Company                                     共和共荣</w:t>
    </w:r>
    <w:r>
      <w:rPr>
        <w:rFonts w:ascii="楷体" w:eastAsia="楷体" w:hAnsi="楷体" w:cs="楷体" w:hint="eastAsia"/>
        <w:color w:val="4472C4" w:themeColor="accent5"/>
        <w:sz w:val="21"/>
        <w:szCs w:val="21"/>
      </w:rPr>
      <w:t xml:space="preserve"> </w:t>
    </w:r>
    <w:r>
      <w:rPr>
        <w:rFonts w:ascii="宋体" w:hAnsi="宋体" w:hint="eastAsia"/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B"/>
    <w:rsid w:val="0015510B"/>
    <w:rsid w:val="00407681"/>
    <w:rsid w:val="004A4BB9"/>
    <w:rsid w:val="006D2915"/>
    <w:rsid w:val="007C7ADC"/>
    <w:rsid w:val="00833976"/>
    <w:rsid w:val="00905DCC"/>
    <w:rsid w:val="00C55391"/>
    <w:rsid w:val="00D73F50"/>
    <w:rsid w:val="0C8F6952"/>
    <w:rsid w:val="16EF233D"/>
    <w:rsid w:val="22C043B7"/>
    <w:rsid w:val="25C6073E"/>
    <w:rsid w:val="35D66034"/>
    <w:rsid w:val="43B05C1E"/>
    <w:rsid w:val="45FC6DF1"/>
    <w:rsid w:val="4AFB19CA"/>
    <w:rsid w:val="5028391C"/>
    <w:rsid w:val="5AF237BA"/>
    <w:rsid w:val="642B6A0E"/>
    <w:rsid w:val="646721FB"/>
    <w:rsid w:val="6BB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B16DE9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DengXian" w:eastAsia="DengXian" w:hAnsi="DengXian" w:cs="DengXian"/>
      <w:sz w:val="24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jyp13</dc:creator>
  <cp:lastModifiedBy>MA20358</cp:lastModifiedBy>
  <cp:revision>5</cp:revision>
  <dcterms:created xsi:type="dcterms:W3CDTF">2022-03-28T08:02:00Z</dcterms:created>
  <dcterms:modified xsi:type="dcterms:W3CDTF">2022-03-28T12:54:00Z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5D44AA1468514CEFBCFF2F5ECF44B845</vt:lpwstr>
  </property>
</Properties>
</file>