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9A71" w14:textId="6149EFDD" w:rsidR="000F76A7" w:rsidRPr="000F76A7" w:rsidRDefault="000F76A7" w:rsidP="000F76A7">
      <w:pPr>
        <w:rPr>
          <w:rFonts w:asciiTheme="majorEastAsia" w:eastAsiaTheme="majorEastAsia" w:hAnsiTheme="majorEastAsia" w:cstheme="majorEastAsia" w:hint="eastAsia"/>
          <w:color w:val="FF0000"/>
          <w:sz w:val="32"/>
          <w:szCs w:val="32"/>
        </w:rPr>
      </w:pPr>
      <w:r w:rsidRPr="000F76A7">
        <w:rPr>
          <w:b/>
          <w:bCs/>
          <w:color w:val="FF0000"/>
          <w:sz w:val="32"/>
          <w:szCs w:val="32"/>
          <w:lang w:val="en"/>
        </w:rPr>
        <w:t>Product description (</w:t>
      </w:r>
      <w:r w:rsidRPr="000F76A7">
        <w:rPr>
          <w:b/>
          <w:bCs/>
          <w:color w:val="FF0000"/>
          <w:sz w:val="32"/>
          <w:szCs w:val="32"/>
          <w:lang w:val="en"/>
        </w:rPr>
        <w:t>Pharmaceutical polyethylene glycol</w:t>
      </w:r>
      <w:r w:rsidRPr="000F76A7">
        <w:rPr>
          <w:rFonts w:asciiTheme="majorEastAsia" w:eastAsiaTheme="majorEastAsia" w:hAnsiTheme="majorEastAsia" w:cstheme="majorEastAsia"/>
          <w:b/>
          <w:bCs/>
          <w:color w:val="FF0000"/>
          <w:sz w:val="32"/>
          <w:szCs w:val="32"/>
        </w:rPr>
        <w:t>)</w:t>
      </w:r>
    </w:p>
    <w:p w14:paraId="50DE4903" w14:textId="77777777" w:rsidR="000F76A7" w:rsidRDefault="000F76A7">
      <w:pPr>
        <w:rPr>
          <w:rFonts w:asciiTheme="majorEastAsia" w:eastAsiaTheme="majorEastAsia" w:hAnsiTheme="majorEastAsia" w:cstheme="majorEastAsia"/>
          <w:b/>
          <w:bCs/>
          <w:color w:val="FF0000"/>
          <w:sz w:val="28"/>
          <w:szCs w:val="28"/>
        </w:rPr>
      </w:pPr>
    </w:p>
    <w:p w14:paraId="5BBA3A33" w14:textId="7CE154A4" w:rsidR="004502AD" w:rsidRDefault="000F76A7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b/>
          <w:bCs/>
          <w:color w:val="FF0000"/>
          <w:sz w:val="28"/>
          <w:szCs w:val="28"/>
          <w:lang w:val="en"/>
        </w:rPr>
        <w:t>Product chemistry name</w:t>
      </w:r>
      <w:r w:rsidR="00B52B53">
        <w:rPr>
          <w:rFonts w:asciiTheme="majorEastAsia" w:eastAsiaTheme="majorEastAsia" w:hAnsiTheme="majorEastAsia" w:cstheme="majorEastAsia" w:hint="eastAsia"/>
          <w:b/>
          <w:bCs/>
          <w:color w:val="FF0000"/>
          <w:sz w:val="28"/>
          <w:szCs w:val="28"/>
        </w:rPr>
        <w:t>：</w:t>
      </w:r>
      <w:r>
        <w:rPr>
          <w:sz w:val="28"/>
          <w:szCs w:val="28"/>
          <w:lang w:val="en"/>
        </w:rPr>
        <w:t>Pharmaceutical polyethylene glycol</w:t>
      </w:r>
    </w:p>
    <w:p w14:paraId="12579DC8" w14:textId="4189E1ED" w:rsidR="004502AD" w:rsidRDefault="000F76A7" w:rsidP="000F76A7">
      <w:pPr>
        <w:spacing w:line="5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b/>
          <w:bCs/>
          <w:color w:val="FF0000"/>
          <w:sz w:val="28"/>
          <w:szCs w:val="28"/>
          <w:lang w:val="en"/>
        </w:rPr>
        <w:t>Product application</w:t>
      </w:r>
      <w:r w:rsidR="00B52B53">
        <w:rPr>
          <w:rFonts w:asciiTheme="majorEastAsia" w:eastAsiaTheme="majorEastAsia" w:hAnsiTheme="majorEastAsia" w:cstheme="majorEastAsia" w:hint="eastAsia"/>
          <w:b/>
          <w:bCs/>
          <w:color w:val="FF0000"/>
          <w:sz w:val="28"/>
          <w:szCs w:val="28"/>
        </w:rPr>
        <w:t>：</w:t>
      </w:r>
      <w:r>
        <w:rPr>
          <w:sz w:val="28"/>
          <w:szCs w:val="28"/>
          <w:lang w:val="en"/>
        </w:rPr>
        <w:t xml:space="preserve">Pharmaceutical polyethylene glycol is an important excipient of water-soluble pharmaceutical preparations, commonly used as excipients of water-soluble drip pills, the matrix of ointments and suppositories </w:t>
      </w:r>
      <w:proofErr w:type="spellStart"/>
      <w:r>
        <w:rPr>
          <w:sz w:val="28"/>
          <w:szCs w:val="28"/>
          <w:lang w:val="en"/>
        </w:rPr>
        <w:t>softgels</w:t>
      </w:r>
      <w:proofErr w:type="spellEnd"/>
      <w:r>
        <w:rPr>
          <w:sz w:val="28"/>
          <w:szCs w:val="28"/>
          <w:lang w:val="en"/>
        </w:rPr>
        <w:t>, the main raw materials of preoperative intestinal cleansers and laxatives, the raw materials in coating powders, and the application of moisturizers in cosmetics.</w:t>
      </w:r>
    </w:p>
    <w:p w14:paraId="464CC0AC" w14:textId="6AEEEA2F" w:rsidR="004502AD" w:rsidRDefault="000F76A7">
      <w:pPr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</w:pPr>
      <w:r>
        <w:rPr>
          <w:b/>
          <w:color w:val="FF0000"/>
          <w:kern w:val="0"/>
          <w:sz w:val="28"/>
          <w:szCs w:val="28"/>
          <w:lang w:val="en"/>
        </w:rPr>
        <w:t>Product categories</w:t>
      </w:r>
      <w:r w:rsidR="00B52B53">
        <w:rPr>
          <w:rFonts w:ascii="Times New Roman" w:eastAsia="宋体" w:hAnsi="宋体" w:cs="Times New Roman"/>
          <w:b/>
          <w:color w:val="FF0000"/>
          <w:kern w:val="0"/>
          <w:sz w:val="28"/>
          <w:szCs w:val="28"/>
        </w:rPr>
        <w:t>：</w:t>
      </w:r>
    </w:p>
    <w:tbl>
      <w:tblPr>
        <w:tblW w:w="4998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2926"/>
        <w:gridCol w:w="2926"/>
      </w:tblGrid>
      <w:tr w:rsidR="004502AD" w14:paraId="43D66C48" w14:textId="77777777">
        <w:trPr>
          <w:trHeight w:val="462"/>
          <w:jc w:val="center"/>
        </w:trPr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8571C" w14:textId="77777777" w:rsidR="004502AD" w:rsidRDefault="00B52B5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PEG-200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291BB" w14:textId="77777777" w:rsidR="004502AD" w:rsidRDefault="00B52B53">
            <w:pPr>
              <w:pStyle w:val="Default"/>
              <w:jc w:val="center"/>
              <w:rPr>
                <w:rFonts w:ascii="Times New Roman" w:hAnsi="Times New Roman" w:hint="default"/>
                <w:sz w:val="28"/>
                <w:szCs w:val="28"/>
              </w:rPr>
            </w:pPr>
            <w:r>
              <w:rPr>
                <w:rFonts w:ascii="Times New Roman" w:hAnsi="Times New Roman" w:hint="default"/>
                <w:sz w:val="28"/>
                <w:szCs w:val="28"/>
              </w:rPr>
              <w:t>PEG-300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D947F" w14:textId="77777777" w:rsidR="004502AD" w:rsidRDefault="00B52B53">
            <w:pPr>
              <w:pStyle w:val="Default"/>
              <w:jc w:val="center"/>
              <w:rPr>
                <w:rFonts w:ascii="Times New Roman" w:hAnsi="Times New Roman" w:hint="default"/>
                <w:sz w:val="28"/>
                <w:szCs w:val="28"/>
              </w:rPr>
            </w:pPr>
            <w:r>
              <w:rPr>
                <w:rFonts w:ascii="Times New Roman" w:hAnsi="Times New Roman" w:hint="default"/>
                <w:sz w:val="28"/>
                <w:szCs w:val="28"/>
              </w:rPr>
              <w:t>PEG-400</w:t>
            </w:r>
          </w:p>
        </w:tc>
      </w:tr>
      <w:tr w:rsidR="004502AD" w14:paraId="5A42981B" w14:textId="77777777">
        <w:trPr>
          <w:jc w:val="center"/>
        </w:trPr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4DD14" w14:textId="77777777" w:rsidR="004502AD" w:rsidRDefault="00B52B5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PEG-600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2075C" w14:textId="77777777" w:rsidR="004502AD" w:rsidRDefault="00B52B5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PEG-1000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105A6" w14:textId="77777777" w:rsidR="004502AD" w:rsidRDefault="00B52B5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PEG-1500</w:t>
            </w:r>
          </w:p>
        </w:tc>
      </w:tr>
      <w:tr w:rsidR="004502AD" w14:paraId="007555BF" w14:textId="77777777">
        <w:trPr>
          <w:jc w:val="center"/>
        </w:trPr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225BD" w14:textId="77777777" w:rsidR="004502AD" w:rsidRDefault="00B52B5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PEG-3350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EAD02" w14:textId="77777777" w:rsidR="004502AD" w:rsidRDefault="00B52B5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PEG-4000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00E67" w14:textId="77777777" w:rsidR="004502AD" w:rsidRDefault="00B52B5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PEG-6000</w:t>
            </w:r>
          </w:p>
        </w:tc>
      </w:tr>
      <w:tr w:rsidR="004502AD" w14:paraId="2AA905DF" w14:textId="77777777">
        <w:trPr>
          <w:jc w:val="center"/>
        </w:trPr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72913" w14:textId="77777777" w:rsidR="004502AD" w:rsidRDefault="00B52B5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PEG-8000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F8996" w14:textId="77777777" w:rsidR="004502AD" w:rsidRDefault="00B52B5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PEG-10000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DE9A5" w14:textId="77777777" w:rsidR="004502AD" w:rsidRDefault="00B52B5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PEG-20000</w:t>
            </w:r>
          </w:p>
        </w:tc>
      </w:tr>
    </w:tbl>
    <w:p w14:paraId="2A98F3CF" w14:textId="77777777" w:rsidR="000F76A7" w:rsidRDefault="000F76A7" w:rsidP="000F76A7">
      <w:pPr>
        <w:widowControl/>
        <w:spacing w:line="500" w:lineRule="exac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  <w:lang w:val="en"/>
        </w:rPr>
        <w:t>Note: Polyethylene glycol series products comply with the current standards of "Chinese Pharmacopoeia", "European Pharmacopoeia" and "American Pharmacopoeia".</w:t>
      </w:r>
    </w:p>
    <w:p w14:paraId="56A8C757" w14:textId="6ACEC3FE" w:rsidR="004502AD" w:rsidRDefault="000F76A7" w:rsidP="000F76A7">
      <w:pPr>
        <w:widowControl/>
        <w:spacing w:line="50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b/>
          <w:bCs/>
          <w:color w:val="FF0000"/>
          <w:kern w:val="0"/>
          <w:sz w:val="28"/>
          <w:szCs w:val="28"/>
          <w:lang w:val="en"/>
        </w:rPr>
        <w:t>Packing specifications</w:t>
      </w:r>
      <w:r w:rsidR="00B52B53">
        <w:rPr>
          <w:rFonts w:ascii="Times New Roman" w:eastAsia="宋体" w:hAnsi="宋体" w:cs="Times New Roman"/>
          <w:b/>
          <w:bCs/>
          <w:color w:val="FF0000"/>
          <w:kern w:val="0"/>
          <w:sz w:val="28"/>
          <w:szCs w:val="28"/>
        </w:rPr>
        <w:t>：</w:t>
      </w:r>
      <w:r>
        <w:rPr>
          <w:color w:val="000000"/>
          <w:kern w:val="0"/>
          <w:sz w:val="28"/>
          <w:szCs w:val="28"/>
          <w:lang w:val="en"/>
        </w:rPr>
        <w:t>Liquid products are packed in 25KG/barrel or</w:t>
      </w:r>
      <w:r>
        <w:rPr>
          <w:lang w:val="en"/>
        </w:rPr>
        <w:t xml:space="preserve"> </w:t>
      </w:r>
      <w:r>
        <w:rPr>
          <w:color w:val="000000"/>
          <w:kern w:val="0"/>
          <w:sz w:val="28"/>
          <w:szCs w:val="28"/>
          <w:lang w:val="en"/>
        </w:rPr>
        <w:t>200Kg/barrel,</w:t>
      </w:r>
      <w:r>
        <w:rPr>
          <w:lang w:val="en"/>
        </w:rPr>
        <w:t xml:space="preserve"> </w:t>
      </w:r>
      <w:r>
        <w:rPr>
          <w:color w:val="000000"/>
          <w:kern w:val="0"/>
          <w:sz w:val="28"/>
          <w:szCs w:val="28"/>
          <w:lang w:val="en"/>
        </w:rPr>
        <w:t>and flake products are packed in</w:t>
      </w:r>
      <w:r>
        <w:rPr>
          <w:lang w:val="en"/>
        </w:rPr>
        <w:t xml:space="preserve"> </w:t>
      </w:r>
      <w:r>
        <w:rPr>
          <w:color w:val="000000"/>
          <w:kern w:val="0"/>
          <w:sz w:val="28"/>
          <w:szCs w:val="28"/>
          <w:lang w:val="en"/>
        </w:rPr>
        <w:t>25kg</w:t>
      </w:r>
      <w:r>
        <w:rPr>
          <w:lang w:val="en"/>
        </w:rPr>
        <w:t xml:space="preserve"> </w:t>
      </w:r>
      <w:r>
        <w:rPr>
          <w:color w:val="000000"/>
          <w:kern w:val="0"/>
          <w:sz w:val="28"/>
          <w:szCs w:val="28"/>
          <w:lang w:val="en"/>
        </w:rPr>
        <w:t>or</w:t>
      </w:r>
      <w:r>
        <w:rPr>
          <w:lang w:val="en"/>
        </w:rPr>
        <w:t xml:space="preserve"> </w:t>
      </w:r>
      <w:r>
        <w:rPr>
          <w:color w:val="000000"/>
          <w:kern w:val="0"/>
          <w:sz w:val="28"/>
          <w:szCs w:val="28"/>
          <w:lang w:val="en"/>
        </w:rPr>
        <w:t>20Kg</w:t>
      </w:r>
      <w:r>
        <w:rPr>
          <w:lang w:val="en"/>
        </w:rPr>
        <w:t xml:space="preserve"> </w:t>
      </w:r>
      <w:r>
        <w:rPr>
          <w:color w:val="000000"/>
          <w:kern w:val="0"/>
          <w:sz w:val="28"/>
          <w:szCs w:val="28"/>
          <w:lang w:val="en"/>
        </w:rPr>
        <w:t>composite plastic woven bags or paper bags;</w:t>
      </w:r>
    </w:p>
    <w:p w14:paraId="6DE3FE75" w14:textId="77777777" w:rsidR="000F76A7" w:rsidRDefault="000F76A7" w:rsidP="000F76A7">
      <w:pPr>
        <w:autoSpaceDE w:val="0"/>
        <w:autoSpaceDN w:val="0"/>
        <w:adjustRightInd w:val="0"/>
        <w:spacing w:line="500" w:lineRule="exact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>
        <w:rPr>
          <w:b/>
          <w:bCs/>
          <w:color w:val="FF0000"/>
          <w:kern w:val="0"/>
          <w:sz w:val="28"/>
          <w:szCs w:val="28"/>
          <w:lang w:val="en"/>
        </w:rPr>
        <w:t>Storage and transportation conditions:</w:t>
      </w:r>
      <w:r>
        <w:rPr>
          <w:color w:val="000000"/>
          <w:sz w:val="28"/>
          <w:szCs w:val="28"/>
          <w:lang w:val="en"/>
        </w:rPr>
        <w:t xml:space="preserve"> the series of products are non-toxic, non-flammable, in the transportation process should prevent sun, rainforest, keep the packaging intact. Store in a cool, dry, ventilated place. </w:t>
      </w:r>
    </w:p>
    <w:p w14:paraId="322A54E8" w14:textId="77777777" w:rsidR="000F76A7" w:rsidRDefault="000F76A7" w:rsidP="000F76A7">
      <w:pPr>
        <w:spacing w:line="500" w:lineRule="exact"/>
      </w:pPr>
      <w:r>
        <w:rPr>
          <w:b/>
          <w:bCs/>
          <w:color w:val="FF0000"/>
          <w:kern w:val="0"/>
          <w:sz w:val="28"/>
          <w:szCs w:val="28"/>
          <w:lang w:val="en"/>
        </w:rPr>
        <w:t xml:space="preserve">Product shelf life: The shelf life </w:t>
      </w:r>
      <w:r>
        <w:rPr>
          <w:kern w:val="0"/>
          <w:sz w:val="28"/>
          <w:szCs w:val="28"/>
          <w:lang w:val="en"/>
        </w:rPr>
        <w:t xml:space="preserve">of the product under the specified </w:t>
      </w:r>
      <w:r>
        <w:rPr>
          <w:kern w:val="0"/>
          <w:sz w:val="28"/>
          <w:szCs w:val="28"/>
          <w:lang w:val="en"/>
        </w:rPr>
        <w:lastRenderedPageBreak/>
        <w:t>storage conditions</w:t>
      </w:r>
      <w:r>
        <w:rPr>
          <w:lang w:val="en"/>
        </w:rPr>
        <w:t xml:space="preserve"> is </w:t>
      </w:r>
      <w:r>
        <w:rPr>
          <w:kern w:val="0"/>
          <w:sz w:val="28"/>
          <w:szCs w:val="28"/>
          <w:lang w:val="en"/>
        </w:rPr>
        <w:t>2</w:t>
      </w:r>
      <w:r>
        <w:rPr>
          <w:lang w:val="en"/>
        </w:rPr>
        <w:t xml:space="preserve"> </w:t>
      </w:r>
      <w:r>
        <w:rPr>
          <w:kern w:val="0"/>
          <w:sz w:val="28"/>
          <w:szCs w:val="28"/>
          <w:lang w:val="en"/>
        </w:rPr>
        <w:t xml:space="preserve">years. </w:t>
      </w:r>
    </w:p>
    <w:p w14:paraId="6CC89900" w14:textId="7BB03691" w:rsidR="004502AD" w:rsidRDefault="004502AD"/>
    <w:sectPr w:rsidR="004502A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98B2" w14:textId="77777777" w:rsidR="00B52B53" w:rsidRDefault="00B52B53">
      <w:r>
        <w:separator/>
      </w:r>
    </w:p>
  </w:endnote>
  <w:endnote w:type="continuationSeparator" w:id="0">
    <w:p w14:paraId="5D9A9728" w14:textId="77777777" w:rsidR="00B52B53" w:rsidRDefault="00B5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4EA5" w14:textId="77777777" w:rsidR="00B52B53" w:rsidRDefault="00B52B53">
      <w:r>
        <w:separator/>
      </w:r>
    </w:p>
  </w:footnote>
  <w:footnote w:type="continuationSeparator" w:id="0">
    <w:p w14:paraId="5315FD5A" w14:textId="77777777" w:rsidR="00B52B53" w:rsidRDefault="00B52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4E0D" w14:textId="77777777" w:rsidR="004502AD" w:rsidRDefault="00B52B53">
    <w:pPr>
      <w:pStyle w:val="a4"/>
      <w:jc w:val="left"/>
      <w:rPr>
        <w:rFonts w:ascii="楷体" w:eastAsia="楷体" w:hAnsi="楷体" w:cs="楷体"/>
        <w:color w:val="002060"/>
        <w:sz w:val="21"/>
        <w:szCs w:val="21"/>
      </w:rPr>
    </w:pPr>
    <w:r>
      <w:rPr>
        <w:rFonts w:ascii="宋体" w:hAnsi="宋体" w:hint="eastAsi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2EDDB3B" wp14:editId="4A00163D">
          <wp:simplePos x="0" y="0"/>
          <wp:positionH relativeFrom="column">
            <wp:posOffset>28575</wp:posOffset>
          </wp:positionH>
          <wp:positionV relativeFrom="paragraph">
            <wp:posOffset>-160020</wp:posOffset>
          </wp:positionV>
          <wp:extent cx="533400" cy="533400"/>
          <wp:effectExtent l="0" t="0" r="0" b="0"/>
          <wp:wrapNone/>
          <wp:docPr id="2" name="Picture 4" descr="奥克图标_招股书用_无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奥克图标_招股书用_无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宋体" w:hAnsi="宋体" w:hint="eastAsia"/>
        <w:sz w:val="28"/>
        <w:szCs w:val="28"/>
      </w:rPr>
      <w:t xml:space="preserve">                                              </w:t>
    </w:r>
    <w:r>
      <w:rPr>
        <w:rFonts w:ascii="楷体" w:eastAsia="楷体" w:hAnsi="楷体" w:cs="楷体" w:hint="eastAsia"/>
        <w:color w:val="002060"/>
        <w:sz w:val="21"/>
        <w:szCs w:val="21"/>
      </w:rPr>
      <w:t>共创共享</w:t>
    </w:r>
    <w:r>
      <w:rPr>
        <w:rFonts w:ascii="楷体" w:eastAsia="楷体" w:hAnsi="楷体" w:cs="楷体" w:hint="eastAsia"/>
        <w:color w:val="002060"/>
        <w:sz w:val="21"/>
        <w:szCs w:val="21"/>
      </w:rPr>
      <w:t xml:space="preserve">  </w:t>
    </w:r>
  </w:p>
  <w:p w14:paraId="579B1321" w14:textId="77777777" w:rsidR="004502AD" w:rsidRDefault="00B52B53">
    <w:pPr>
      <w:pStyle w:val="a4"/>
      <w:ind w:firstLineChars="500" w:firstLine="1050"/>
      <w:jc w:val="left"/>
      <w:rPr>
        <w:rFonts w:ascii="楷体" w:eastAsia="楷体" w:hAnsi="楷体" w:cs="楷体"/>
        <w:sz w:val="24"/>
      </w:rPr>
    </w:pPr>
    <w:r>
      <w:rPr>
        <w:rFonts w:ascii="楷体" w:eastAsia="楷体" w:hAnsi="楷体" w:cs="楷体" w:hint="eastAsia"/>
        <w:color w:val="002060"/>
        <w:sz w:val="21"/>
        <w:szCs w:val="21"/>
      </w:rPr>
      <w:t xml:space="preserve">OXRIAN Chemical Company                                     </w:t>
    </w:r>
    <w:r>
      <w:rPr>
        <w:rFonts w:ascii="楷体" w:eastAsia="楷体" w:hAnsi="楷体" w:cs="楷体" w:hint="eastAsia"/>
        <w:color w:val="002060"/>
        <w:sz w:val="21"/>
        <w:szCs w:val="21"/>
      </w:rPr>
      <w:t>共和共荣</w:t>
    </w:r>
    <w:r>
      <w:rPr>
        <w:rFonts w:ascii="楷体" w:eastAsia="楷体" w:hAnsi="楷体" w:cs="楷体" w:hint="eastAsia"/>
        <w:color w:val="4472C4" w:themeColor="accent5"/>
        <w:sz w:val="21"/>
        <w:szCs w:val="21"/>
      </w:rPr>
      <w:t xml:space="preserve"> </w:t>
    </w:r>
    <w:r>
      <w:rPr>
        <w:rFonts w:ascii="宋体" w:hAnsi="宋体" w:hint="eastAsia"/>
        <w:sz w:val="28"/>
        <w:szCs w:val="28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2AD"/>
    <w:rsid w:val="000F76A7"/>
    <w:rsid w:val="004502AD"/>
    <w:rsid w:val="00B52B53"/>
    <w:rsid w:val="03877148"/>
    <w:rsid w:val="0C8F6952"/>
    <w:rsid w:val="0FCF3B10"/>
    <w:rsid w:val="16EF233D"/>
    <w:rsid w:val="1CA27B7C"/>
    <w:rsid w:val="22C043B7"/>
    <w:rsid w:val="25C6073E"/>
    <w:rsid w:val="3E156FCD"/>
    <w:rsid w:val="43B05C1E"/>
    <w:rsid w:val="45FC6DF1"/>
    <w:rsid w:val="47951052"/>
    <w:rsid w:val="5028391C"/>
    <w:rsid w:val="5AF237BA"/>
    <w:rsid w:val="63AF1989"/>
    <w:rsid w:val="6BB60439"/>
    <w:rsid w:val="6E3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966A52C"/>
  <w15:docId w15:val="{50F6B83A-8E2B-A746-86BC-C2EA6B78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jyp13</dc:creator>
  <cp:lastModifiedBy>MA20358</cp:lastModifiedBy>
  <cp:revision>2</cp:revision>
  <dcterms:created xsi:type="dcterms:W3CDTF">2021-05-11T07:36:00Z</dcterms:created>
  <dcterms:modified xsi:type="dcterms:W3CDTF">2022-03-28T11:52:00Z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B1500B94E8924CBCA8D5D8AA9A84E4D3</vt:lpwstr>
  </property>
</Properties>
</file>